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before="68"/>
        <w:ind w:left="5670"/>
        <w:rPr>
          <w:sz w:val="28"/>
        </w:rPr>
      </w:pPr>
      <w:r/>
      <w:bookmarkStart w:id="0" w:name="Програма"/>
      <w:r/>
      <w:bookmarkEnd w:id="0"/>
      <w:r>
        <w:rPr>
          <w:sz w:val="28"/>
        </w:rPr>
        <w:t xml:space="preserve">ЗАТВЕРДЖЕНО</w:t>
      </w:r>
      <w:r>
        <w:rPr>
          <w:sz w:val="28"/>
        </w:rPr>
      </w:r>
    </w:p>
    <w:p>
      <w:pPr>
        <w:pBdr/>
        <w:spacing w:before="1"/>
        <w:ind w:right="246" w:left="5670"/>
        <w:rPr>
          <w:sz w:val="28"/>
        </w:rPr>
      </w:pPr>
      <w:r>
        <w:rPr>
          <w:sz w:val="28"/>
        </w:rPr>
        <w:t xml:space="preserve">Розпорядження начальника Чернігівської обласної військової адміністрації</w:t>
      </w:r>
      <w:r>
        <w:rPr>
          <w:sz w:val="28"/>
        </w:rPr>
      </w:r>
    </w:p>
    <w:p>
      <w:pPr>
        <w:pBdr/>
        <w:spacing w:before="1"/>
        <w:ind w:right="3" w:left="5670"/>
        <w:rPr>
          <w:sz w:val="28"/>
        </w:rPr>
      </w:pPr>
      <w:r>
        <w:rPr>
          <w:sz w:val="28"/>
        </w:rPr>
        <w:t xml:space="preserve">____________ 202</w:t>
      </w:r>
      <w:r>
        <w:rPr>
          <w:sz w:val="28"/>
        </w:rPr>
        <w:t xml:space="preserve">5</w:t>
      </w:r>
      <w:r>
        <w:rPr>
          <w:sz w:val="28"/>
        </w:rPr>
        <w:t xml:space="preserve"> року № ____</w:t>
      </w:r>
      <w:r>
        <w:rPr>
          <w:sz w:val="28"/>
        </w:rPr>
      </w:r>
    </w:p>
    <w:p>
      <w:pPr>
        <w:pBdr/>
        <w:spacing w:before="1"/>
        <w:ind w:right="246" w:left="567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09"/>
        <w:pBdr/>
        <w:spacing w:before="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11"/>
        <w:pBdr/>
        <w:spacing/>
        <w:ind/>
        <w:rPr/>
      </w:pPr>
      <w:r>
        <w:t xml:space="preserve">ОБЛАСНА</w:t>
      </w:r>
      <w:r>
        <w:t xml:space="preserve"> </w:t>
      </w:r>
      <w:r>
        <w:t xml:space="preserve">ПРОГРАМА</w:t>
      </w:r>
      <w:r/>
    </w:p>
    <w:p>
      <w:pPr>
        <w:pStyle w:val="709"/>
        <w:pBdr/>
        <w:spacing w:before="10"/>
        <w:ind w:left="0"/>
        <w:rPr>
          <w:b/>
          <w:sz w:val="39"/>
        </w:rPr>
      </w:pPr>
      <w:r>
        <w:rPr>
          <w:b/>
          <w:sz w:val="39"/>
        </w:rPr>
      </w:r>
      <w:r>
        <w:rPr>
          <w:b/>
          <w:sz w:val="39"/>
        </w:rPr>
      </w:r>
    </w:p>
    <w:p>
      <w:pPr>
        <w:pBdr/>
        <w:spacing w:before="1"/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охорони та </w:t>
      </w:r>
      <w:r>
        <w:rPr>
          <w:b/>
          <w:sz w:val="28"/>
        </w:rPr>
        <w:t xml:space="preserve">збереження пам’яток архітектури</w:t>
      </w:r>
      <w:r>
        <w:rPr>
          <w:b/>
          <w:sz w:val="28"/>
        </w:rPr>
        <w:t xml:space="preserve">, містобудування та садово-паркового мистецтва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Чернігівської області на </w:t>
      </w:r>
      <w:r>
        <w:rPr>
          <w:b/>
          <w:sz w:val="28"/>
        </w:rPr>
        <w:t xml:space="preserve">202</w:t>
      </w:r>
      <w:r>
        <w:rPr>
          <w:b/>
          <w:sz w:val="28"/>
        </w:rPr>
        <w:t xml:space="preserve">5-2030</w:t>
      </w:r>
      <w:r>
        <w:rPr>
          <w:b/>
          <w:sz w:val="28"/>
        </w:rPr>
        <w:t xml:space="preserve"> р</w:t>
      </w:r>
      <w:r>
        <w:rPr>
          <w:b/>
          <w:sz w:val="28"/>
        </w:rPr>
        <w:t xml:space="preserve">оки</w:t>
      </w:r>
      <w:r>
        <w:rPr>
          <w:b/>
          <w:sz w:val="28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jc w:val="center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jc w:val="center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09"/>
        <w:pBdr/>
        <w:spacing/>
        <w:ind w:left="0"/>
        <w:jc w:val="center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Bdr/>
        <w:spacing/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м. </w:t>
      </w:r>
      <w:r>
        <w:rPr>
          <w:b/>
          <w:sz w:val="28"/>
        </w:rPr>
        <w:t xml:space="preserve">Ч</w:t>
      </w:r>
      <w:r>
        <w:rPr>
          <w:b/>
          <w:sz w:val="28"/>
        </w:rPr>
        <w:t xml:space="preserve">ернігів,</w:t>
      </w:r>
      <w:r>
        <w:rPr>
          <w:b/>
          <w:sz w:val="28"/>
        </w:rPr>
        <w:t xml:space="preserve"> 2</w:t>
      </w:r>
      <w:r>
        <w:rPr>
          <w:b/>
          <w:sz w:val="28"/>
        </w:rPr>
        <w:t xml:space="preserve">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рік</w:t>
      </w:r>
      <w:r>
        <w:rPr>
          <w:b/>
          <w:sz w:val="28"/>
        </w:rPr>
      </w:r>
    </w:p>
    <w:p>
      <w:pPr>
        <w:pBdr/>
        <w:spacing/>
        <w:ind/>
        <w:jc w:val="center"/>
        <w:rPr>
          <w:sz w:val="28"/>
        </w:rPr>
        <w:sectPr>
          <w:footnotePr/>
          <w:endnotePr/>
          <w:type w:val="continuous"/>
          <w:pgSz w:h="16840" w:orient="portrait" w:w="11910"/>
          <w:pgMar w:top="1134" w:right="567" w:bottom="1134" w:left="1701" w:header="708" w:footer="708" w:gutter="0"/>
          <w:cols w:num="1" w:sep="0" w:space="720" w:equalWidth="1"/>
        </w:sectPr>
      </w:pPr>
      <w:r>
        <w:rPr>
          <w:sz w:val="28"/>
        </w:rPr>
      </w:r>
      <w:r>
        <w:rPr>
          <w:sz w:val="28"/>
        </w:rPr>
      </w:r>
    </w:p>
    <w:p>
      <w:pPr>
        <w:pBdr/>
        <w:spacing w:before="83" w:line="321" w:lineRule="exact"/>
        <w:ind w:right="487" w:left="186"/>
        <w:jc w:val="center"/>
        <w:rPr>
          <w:b/>
          <w:sz w:val="28"/>
        </w:rPr>
      </w:pPr>
      <w:r>
        <w:rPr>
          <w:b/>
          <w:sz w:val="28"/>
        </w:rPr>
        <w:t xml:space="preserve">ЗМІСТ</w:t>
      </w:r>
      <w:r>
        <w:rPr>
          <w:b/>
          <w:sz w:val="28"/>
        </w:rPr>
      </w:r>
    </w:p>
    <w:tbl>
      <w:tblPr>
        <w:tblStyle w:val="71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2"/>
        <w:gridCol w:w="8363"/>
        <w:gridCol w:w="816"/>
      </w:tblGrid>
      <w:tr>
        <w:trPr/>
        <w:tc>
          <w:tcPr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  <w:tc>
          <w:tcPr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  <w:tc>
          <w:tcPr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стор.</w:t>
            </w:r>
            <w:r/>
          </w:p>
        </w:tc>
      </w:tr>
      <w:tr>
        <w:trPr/>
        <w:tc>
          <w:tcPr>
            <w:shd w:val="clear" w:color="auto" w:fill="auto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t xml:space="preserve">Паспорт </w:t>
            </w:r>
            <w:r>
              <w:t xml:space="preserve">О</w:t>
            </w:r>
            <w:r>
              <w:t xml:space="preserve">бласної </w:t>
            </w:r>
            <w:r>
              <w:t xml:space="preserve">п</w:t>
            </w:r>
            <w:r>
              <w:t xml:space="preserve">рограми </w:t>
            </w:r>
            <w:r>
              <w:t xml:space="preserve">охорони та збереження пам’яток архітектури, містобудування та садово-паркового мистецтва Чернігівської області на 2025-2030 роки</w:t>
            </w:r>
            <w:r/>
          </w:p>
        </w:tc>
        <w:tc>
          <w:tcPr>
            <w:shd w:val="clear" w:color="auto" w:fill="auto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3</w:t>
            </w:r>
            <w:r/>
          </w:p>
        </w:tc>
      </w:tr>
      <w:tr>
        <w:trPr/>
        <w:tc>
          <w:tcPr>
            <w:shd w:val="clear" w:color="auto" w:fill="ffffff" w:themeFill="background1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t xml:space="preserve">Визначення проблем</w:t>
            </w:r>
            <w:r>
              <w:t xml:space="preserve">и</w:t>
            </w:r>
            <w:r>
              <w:t xml:space="preserve">, на розв</w:t>
            </w:r>
            <w:r>
              <w:t xml:space="preserve">’</w:t>
            </w:r>
            <w:r>
              <w:t xml:space="preserve">язання якої</w:t>
            </w:r>
            <w:r>
              <w:t xml:space="preserve"> спрямована Програма</w:t>
            </w:r>
            <w:r/>
          </w:p>
        </w:tc>
        <w:tc>
          <w:tcPr>
            <w:shd w:val="clear" w:color="auto" w:fill="ffffff" w:themeFill="background1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4</w:t>
            </w:r>
            <w:r/>
          </w:p>
        </w:tc>
      </w:tr>
      <w:tr>
        <w:trPr/>
        <w:tc>
          <w:tcPr>
            <w:shd w:val="clear" w:color="auto" w:fill="ffffff" w:themeFill="background1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rPr>
                <w:rStyle w:val="716"/>
                <w:i w:val="0"/>
                <w:color w:val="auto"/>
              </w:rPr>
              <w:t xml:space="preserve">Мета Програми</w:t>
            </w:r>
            <w:r/>
          </w:p>
        </w:tc>
        <w:tc>
          <w:tcPr>
            <w:shd w:val="clear" w:color="auto" w:fill="ffffff" w:themeFill="background1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rPr>
                <w:rStyle w:val="716"/>
                <w:i w:val="0"/>
                <w:color w:val="auto"/>
              </w:rPr>
              <w:t xml:space="preserve">Шляхи розв’</w:t>
            </w:r>
            <w:r>
              <w:rPr>
                <w:rStyle w:val="716"/>
                <w:i w:val="0"/>
                <w:color w:val="auto"/>
              </w:rPr>
              <w:t xml:space="preserve">язання проблем</w:t>
            </w:r>
            <w:r>
              <w:rPr>
                <w:rStyle w:val="716"/>
                <w:i w:val="0"/>
                <w:color w:val="auto"/>
              </w:rPr>
              <w:t xml:space="preserve">и</w:t>
            </w:r>
            <w:r>
              <w:rPr>
                <w:rStyle w:val="716"/>
                <w:i w:val="0"/>
                <w:color w:val="auto"/>
              </w:rPr>
              <w:t xml:space="preserve">, фінансове забезпечення Програми</w:t>
            </w:r>
            <w:r/>
          </w:p>
        </w:tc>
        <w:tc>
          <w:tcPr>
            <w:shd w:val="clear" w:color="auto" w:fill="auto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5</w:t>
            </w:r>
            <w:r/>
          </w:p>
        </w:tc>
      </w:tr>
      <w:tr>
        <w:trPr/>
        <w:tc>
          <w:tcPr>
            <w:shd w:val="clear" w:color="auto" w:fill="ffffff" w:themeFill="background1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rPr>
                <w:rStyle w:val="716"/>
                <w:i w:val="0"/>
                <w:color w:val="auto"/>
              </w:rPr>
              <w:t xml:space="preserve">Завдання Програми</w:t>
            </w:r>
            <w:r/>
          </w:p>
        </w:tc>
        <w:tc>
          <w:tcPr>
            <w:shd w:val="clear" w:color="auto" w:fill="ffffff" w:themeFill="background1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>
                <w:lang w:val="ru-RU"/>
              </w:rPr>
            </w:pPr>
            <w:r>
              <w:t xml:space="preserve">6</w:t>
            </w:r>
            <w:r>
              <w:rPr>
                <w:lang w:val="ru-RU"/>
              </w:rPr>
            </w:r>
          </w:p>
        </w:tc>
      </w:tr>
      <w:tr>
        <w:trPr/>
        <w:tc>
          <w:tcPr>
            <w:shd w:val="clear" w:color="auto" w:fill="ffffff" w:themeFill="background1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6</w:t>
            </w:r>
            <w:r/>
          </w:p>
        </w:tc>
        <w:tc>
          <w:tcPr>
            <w:shd w:val="clear" w:color="auto" w:fill="ffffff" w:themeFill="background1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rPr>
                <w:rStyle w:val="716"/>
                <w:i w:val="0"/>
                <w:color w:val="auto"/>
              </w:rPr>
              <w:t xml:space="preserve">Очікувані результати виконання Програми</w:t>
            </w:r>
            <w:r/>
          </w:p>
        </w:tc>
        <w:tc>
          <w:tcPr>
            <w:shd w:val="clear" w:color="auto" w:fill="ffffff" w:themeFill="background1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7</w:t>
            </w:r>
            <w:r/>
          </w:p>
        </w:tc>
      </w:tr>
      <w:tr>
        <w:trPr/>
        <w:tc>
          <w:tcPr>
            <w:shd w:val="clear" w:color="auto" w:fill="ffffff" w:themeFill="background1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7</w:t>
            </w:r>
            <w:r/>
          </w:p>
        </w:tc>
        <w:tc>
          <w:tcPr>
            <w:shd w:val="clear" w:color="auto" w:fill="ffffff" w:themeFill="background1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rPr>
                <w:rStyle w:val="716"/>
                <w:i w:val="0"/>
                <w:color w:val="auto"/>
              </w:rPr>
              <w:t xml:space="preserve">Координація та контроль за ходом виконання Програми</w:t>
            </w:r>
            <w:r/>
          </w:p>
        </w:tc>
        <w:tc>
          <w:tcPr>
            <w:shd w:val="clear" w:color="auto" w:fill="ffffff" w:themeFill="background1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>
              <w:t xml:space="preserve">7</w:t>
            </w:r>
            <w:r/>
          </w:p>
        </w:tc>
      </w:tr>
      <w:tr>
        <w:trPr/>
        <w:tc>
          <w:tcPr>
            <w:shd w:val="clear" w:color="auto" w:fill="auto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  <w:tc>
          <w:tcPr>
            <w:shd w:val="clear" w:color="auto" w:fill="auto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>
                <w:rStyle w:val="716"/>
                <w:i w:val="0"/>
                <w:color w:val="auto"/>
              </w:rPr>
            </w:pPr>
            <w:r>
              <w:rPr>
                <w:i w:val="0"/>
                <w:color w:val="auto"/>
              </w:rPr>
            </w:r>
            <w:r>
              <w:rPr>
                <w:rStyle w:val="716"/>
                <w:i w:val="0"/>
                <w:color w:val="auto"/>
              </w:rPr>
            </w:r>
          </w:p>
        </w:tc>
        <w:tc>
          <w:tcPr>
            <w:shd w:val="clear" w:color="auto" w:fill="auto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  <w:tc>
          <w:tcPr>
            <w:shd w:val="clear" w:color="auto" w:fill="auto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>
                <w:rStyle w:val="716"/>
                <w:i w:val="0"/>
                <w:color w:val="auto"/>
              </w:rPr>
            </w:pPr>
            <w:r>
              <w:t xml:space="preserve">Додаток 1. </w:t>
            </w:r>
            <w:r>
              <w:t xml:space="preserve">Ресурсне забезпечення 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      </w:r>
            <w:r>
              <w:rPr>
                <w:rStyle w:val="716"/>
                <w:i w:val="0"/>
                <w:color w:val="auto"/>
              </w:rPr>
            </w:r>
          </w:p>
        </w:tc>
        <w:tc>
          <w:tcPr>
            <w:shd w:val="clear" w:color="auto" w:fill="auto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  <w:tc>
          <w:tcPr>
            <w:shd w:val="clear" w:color="auto" w:fill="auto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t xml:space="preserve">Додаток 2. </w:t>
            </w:r>
            <w:r>
              <w:t xml:space="preserve">Напрями діяльності та заходи 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      </w:r>
            <w:r/>
          </w:p>
        </w:tc>
        <w:tc>
          <w:tcPr>
            <w:shd w:val="clear" w:color="auto" w:fill="auto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392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  <w:tc>
          <w:tcPr>
            <w:shd w:val="clear" w:color="auto" w:fill="auto"/>
            <w:tcBorders/>
            <w:tcW w:w="8363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both"/>
              <w:rPr/>
            </w:pPr>
            <w:r>
              <w:t xml:space="preserve">Додаток 3. Результативні показники 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      </w:r>
            <w:r/>
          </w:p>
        </w:tc>
        <w:tc>
          <w:tcPr>
            <w:shd w:val="clear" w:color="auto" w:fill="auto"/>
            <w:tcBorders/>
            <w:tcW w:w="816" w:type="dxa"/>
            <w:textDirection w:val="lrTb"/>
            <w:noWrap w:val="false"/>
          </w:tcPr>
          <w:p>
            <w:pPr>
              <w:pStyle w:val="709"/>
              <w:pBdr/>
              <w:spacing w:line="321" w:lineRule="exact"/>
              <w:ind w:right="3" w:left="0"/>
              <w:jc w:val="right"/>
              <w:rPr/>
            </w:pPr>
            <w:r/>
            <w:r/>
          </w:p>
        </w:tc>
      </w:tr>
    </w:tbl>
    <w:p>
      <w:pPr>
        <w:pStyle w:val="709"/>
        <w:pBdr/>
        <w:spacing w:line="321" w:lineRule="exact"/>
        <w:ind w:right="3" w:left="0"/>
        <w:jc w:val="right"/>
        <w:rPr/>
      </w:pPr>
      <w:r/>
      <w:r/>
    </w:p>
    <w:p>
      <w:pPr>
        <w:pStyle w:val="709"/>
        <w:pBdr/>
        <w:spacing/>
        <w:ind w:right="162" w:firstLine="566"/>
        <w:jc w:val="both"/>
        <w:rPr/>
      </w:pPr>
      <w:r/>
      <w:r/>
    </w:p>
    <w:p>
      <w:pPr>
        <w:pBdr/>
        <w:spacing/>
        <w:ind/>
        <w:jc w:val="both"/>
        <w:rPr/>
        <w:sectPr>
          <w:headerReference w:type="default" r:id="rId9"/>
          <w:footnotePr/>
          <w:endnotePr/>
          <w:type w:val="nextPage"/>
          <w:pgSz w:h="16840" w:orient="portrait" w:w="11910"/>
          <w:pgMar w:top="1134" w:right="567" w:bottom="1134" w:left="1701" w:header="523" w:footer="0" w:gutter="0"/>
          <w:pgNumType w:start="2"/>
          <w:cols w:num="1" w:sep="0" w:space="720" w:equalWidth="1"/>
        </w:sectPr>
      </w:pPr>
      <w:r/>
      <w:r/>
    </w:p>
    <w:p>
      <w:pPr>
        <w:pBdr/>
        <w:spacing w:before="1"/>
        <w:ind w:right="3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1. </w:t>
      </w:r>
      <w:r>
        <w:rPr>
          <w:b/>
          <w:spacing w:val="-1"/>
          <w:sz w:val="28"/>
        </w:rPr>
        <w:t xml:space="preserve">Паспорт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О</w:t>
      </w:r>
      <w:r>
        <w:rPr>
          <w:b/>
          <w:spacing w:val="-1"/>
          <w:sz w:val="28"/>
        </w:rPr>
        <w:t xml:space="preserve">бласної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 xml:space="preserve">п</w:t>
      </w:r>
      <w:r>
        <w:rPr>
          <w:b/>
          <w:spacing w:val="-1"/>
          <w:sz w:val="28"/>
        </w:rPr>
        <w:t xml:space="preserve">рограми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b/>
          <w:sz w:val="28"/>
        </w:rPr>
      </w:r>
    </w:p>
    <w:p>
      <w:pPr>
        <w:pStyle w:val="709"/>
        <w:pBdr/>
        <w:shd w:val="clear" w:color="auto" w:fill="ffffff" w:themeFill="background1"/>
        <w:spacing w:before="2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707"/>
        <w:tblW w:w="974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5387"/>
      </w:tblGrid>
      <w:tr>
        <w:trPr>
          <w:trHeight w:val="645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before="153"/>
              <w:ind w:right="95" w:lef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</w:p>
        </w:tc>
        <w:tc>
          <w:tcPr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Ініціатор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розроблення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Програми</w:t>
            </w:r>
            <w:r>
              <w:rPr>
                <w:sz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Чернігівська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обласна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державна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адміністрація</w:t>
            </w:r>
            <w:r>
              <w:rPr>
                <w:sz w:val="28"/>
              </w:rPr>
            </w:r>
          </w:p>
        </w:tc>
      </w:tr>
      <w:tr>
        <w:trPr>
          <w:trHeight w:val="1286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95" w:lef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</w:p>
        </w:tc>
        <w:tc>
          <w:tcPr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101" w:left="108"/>
              <w:rPr>
                <w:sz w:val="28"/>
              </w:rPr>
            </w:pPr>
            <w:r>
              <w:rPr>
                <w:sz w:val="28"/>
              </w:rPr>
              <w:t xml:space="preserve">Дата, номер і назва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розпорядчого документа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виконавчої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влади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розроблення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Програми</w:t>
            </w:r>
            <w:r>
              <w:rPr>
                <w:sz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Розпорядження начальника </w:t>
            </w:r>
            <w:r>
              <w:rPr>
                <w:sz w:val="28"/>
              </w:rPr>
              <w:t xml:space="preserve">Чернігівської обласної </w:t>
            </w:r>
            <w:r>
              <w:rPr>
                <w:sz w:val="28"/>
              </w:rPr>
              <w:t xml:space="preserve">військової </w:t>
            </w:r>
            <w:r>
              <w:rPr>
                <w:sz w:val="28"/>
              </w:rPr>
              <w:t xml:space="preserve">адміністрації від </w:t>
            </w:r>
            <w:r>
              <w:rPr>
                <w:sz w:val="28"/>
              </w:rPr>
              <w:t xml:space="preserve">18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0.2024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8</w:t>
            </w:r>
            <w:r>
              <w:rPr>
                <w:sz w:val="28"/>
              </w:rPr>
              <w:t xml:space="preserve">47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«Про розроблення проєкту Обласної програми </w:t>
            </w:r>
            <w:r>
              <w:rPr>
                <w:sz w:val="28"/>
              </w:rPr>
              <w:t xml:space="preserve">охорони та збереження пам’яток архітектури, містобудування та садово-паркового мистецтва Чернігівської області на 2025-2030 роки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</w:p>
        </w:tc>
      </w:tr>
      <w:tr>
        <w:trPr>
          <w:trHeight w:val="967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before="1"/>
              <w:ind w:right="95" w:lef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</w:p>
        </w:tc>
        <w:tc>
          <w:tcPr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Розробник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Програми</w:t>
            </w:r>
            <w:r>
              <w:rPr>
                <w:sz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112" w:left="108"/>
              <w:rPr>
                <w:sz w:val="28"/>
              </w:rPr>
            </w:pPr>
            <w:r>
              <w:rPr>
                <w:sz w:val="28"/>
              </w:rPr>
              <w:t xml:space="preserve">Управління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містобудування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архітектури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Чернігівської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обласної державної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адміністрації</w:t>
            </w:r>
            <w:r>
              <w:rPr>
                <w:sz w:val="28"/>
              </w:rPr>
            </w:r>
          </w:p>
        </w:tc>
      </w:tr>
      <w:tr>
        <w:trPr>
          <w:trHeight w:val="966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before="1"/>
              <w:ind w:right="95" w:lef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>
              <w:rPr>
                <w:sz w:val="28"/>
              </w:rPr>
            </w:r>
          </w:p>
        </w:tc>
        <w:tc>
          <w:tcPr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618" w:left="108"/>
              <w:rPr>
                <w:sz w:val="28"/>
              </w:rPr>
            </w:pPr>
            <w:r>
              <w:rPr>
                <w:sz w:val="28"/>
              </w:rPr>
              <w:t xml:space="preserve">Відповідальн</w:t>
            </w:r>
            <w:r>
              <w:rPr>
                <w:sz w:val="28"/>
              </w:rPr>
              <w:t xml:space="preserve">і</w:t>
            </w:r>
            <w:r>
              <w:rPr>
                <w:sz w:val="28"/>
              </w:rPr>
              <w:t xml:space="preserve"> виконав</w:t>
            </w:r>
            <w:r>
              <w:rPr>
                <w:sz w:val="28"/>
              </w:rPr>
              <w:t xml:space="preserve">ці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Програми</w:t>
            </w:r>
            <w:r>
              <w:rPr>
                <w:sz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112" w:left="108"/>
              <w:rPr>
                <w:sz w:val="28"/>
              </w:rPr>
            </w:pPr>
            <w:r>
              <w:rPr>
                <w:sz w:val="28"/>
              </w:rPr>
              <w:t xml:space="preserve">Управління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містобудування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архітектури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Чернігівської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обласної державної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адміністрації</w:t>
            </w:r>
            <w:r>
              <w:rPr>
                <w:sz w:val="28"/>
              </w:rPr>
              <w:t xml:space="preserve">, Управління капітального будівництва Чернігівської обласної державної адміністрації</w:t>
            </w:r>
            <w:r>
              <w:rPr>
                <w:sz w:val="28"/>
              </w:rPr>
            </w:r>
          </w:p>
        </w:tc>
      </w:tr>
      <w:tr>
        <w:trPr>
          <w:trHeight w:val="964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before="1"/>
              <w:ind w:right="95" w:lef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>
              <w:rPr>
                <w:sz w:val="28"/>
              </w:rPr>
            </w:r>
          </w:p>
        </w:tc>
        <w:tc>
          <w:tcPr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Учасники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Програми</w:t>
            </w:r>
            <w:r>
              <w:rPr>
                <w:sz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112" w:left="108"/>
              <w:rPr>
                <w:sz w:val="28"/>
              </w:rPr>
            </w:pPr>
            <w:r>
              <w:rPr>
                <w:sz w:val="28"/>
              </w:rPr>
              <w:t xml:space="preserve">Управління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містобудування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архітектури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Чернігівської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обласної державної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адміністрації,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Управління капітального будівництва Чернігівської обласної державної адміністрації, </w:t>
            </w:r>
            <w:r>
              <w:rPr>
                <w:sz w:val="28"/>
              </w:rPr>
              <w:t xml:space="preserve">районні державні адміністрації, органи місцевого самоврядування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благодійники,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спонсори</w:t>
            </w:r>
            <w:r>
              <w:rPr>
                <w:sz w:val="28"/>
              </w:rPr>
            </w:r>
          </w:p>
        </w:tc>
      </w:tr>
      <w:tr>
        <w:trPr>
          <w:trHeight w:val="341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95" w:lef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</w:p>
        </w:tc>
        <w:tc>
          <w:tcPr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Термін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реалізації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програми</w:t>
            </w:r>
            <w:r>
              <w:rPr>
                <w:sz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left="108"/>
              <w:rPr>
                <w:sz w:val="28"/>
              </w:rPr>
            </w:pPr>
            <w:r>
              <w:rPr>
                <w:sz w:val="28"/>
              </w:rPr>
              <w:t xml:space="preserve">2025-2030</w:t>
            </w:r>
            <w:r>
              <w:rPr>
                <w:sz w:val="28"/>
              </w:rPr>
              <w:t xml:space="preserve"> р</w:t>
            </w:r>
            <w:r>
              <w:rPr>
                <w:sz w:val="28"/>
              </w:rPr>
              <w:t xml:space="preserve">оки</w:t>
            </w:r>
            <w:r>
              <w:rPr>
                <w:sz w:val="28"/>
              </w:rPr>
            </w:r>
          </w:p>
        </w:tc>
      </w:tr>
      <w:tr>
        <w:trPr>
          <w:trHeight w:val="967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95" w:left="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>
              <w:rPr>
                <w:sz w:val="28"/>
              </w:rPr>
            </w:r>
          </w:p>
        </w:tc>
        <w:tc>
          <w:tcPr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right="422" w:left="108"/>
              <w:rPr>
                <w:sz w:val="28"/>
              </w:rPr>
            </w:pPr>
            <w:r>
              <w:rPr>
                <w:sz w:val="28"/>
              </w:rPr>
              <w:t xml:space="preserve">Перелік бюджетів, які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беруть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участь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виконанні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Програми</w:t>
            </w:r>
            <w:r>
              <w:rPr>
                <w:sz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hd w:val="clear" w:color="auto" w:fill="ffffff" w:themeFill="background1"/>
              <w:spacing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Обласний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</w:t>
            </w:r>
            <w:r>
              <w:rPr>
                <w:sz w:val="28"/>
              </w:rPr>
            </w:r>
          </w:p>
        </w:tc>
      </w:tr>
      <w:tr>
        <w:trPr>
          <w:trHeight w:val="1288"/>
        </w:trPr>
        <w:tc>
          <w:tcPr>
            <w:shd w:val="clear" w:color="auto" w:fill="auto"/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 w:right="95" w:left="1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pacing/>
              <w:ind w:right="180" w:left="108"/>
              <w:rPr>
                <w:sz w:val="28"/>
              </w:rPr>
            </w:pPr>
            <w:r>
              <w:rPr>
                <w:sz w:val="28"/>
              </w:rPr>
              <w:t xml:space="preserve">Загальний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обсяг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фінансових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ресурсів,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необхідних для реалізації Програми, усього: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pacing/>
              <w:ind w:left="10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13"/>
              <w:pBdr/>
              <w:spacing/>
              <w:ind w:left="10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13"/>
              <w:pBdr/>
              <w:spacing/>
              <w:ind w:left="10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13"/>
              <w:pBdr/>
              <w:spacing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7270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 xml:space="preserve"> тис.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грн</w:t>
            </w:r>
            <w:r>
              <w:rPr>
                <w:sz w:val="28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/>
            <w:tcW w:w="674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 w:right="95" w:left="103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pacing/>
              <w:ind w:right="180" w:left="108"/>
              <w:rPr>
                <w:sz w:val="28"/>
              </w:rPr>
            </w:pP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тому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числі: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5387" w:type="dxa"/>
            <w:vAlign w:val="bottom"/>
            <w:vMerge w:val="restart"/>
            <w:textDirection w:val="lrTb"/>
            <w:noWrap w:val="false"/>
          </w:tcPr>
          <w:p>
            <w:pPr>
              <w:pStyle w:val="713"/>
              <w:pBdr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13"/>
              <w:pBdr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5170</w:t>
            </w:r>
            <w:r>
              <w:rPr>
                <w:sz w:val="28"/>
              </w:rPr>
              <w:t xml:space="preserve">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тис.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грн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shd w:val="clear" w:color="auto" w:fill="auto"/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pacing w:line="301" w:lineRule="exact"/>
              <w:ind w:right="95" w:lef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8.1.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коштів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обласного бюджету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5387" w:type="dxa"/>
            <w:vMerge w:val="continue"/>
            <w:textDirection w:val="lrTb"/>
            <w:noWrap w:val="false"/>
          </w:tcPr>
          <w:p>
            <w:pPr>
              <w:pStyle w:val="713"/>
              <w:pBdr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shd w:val="clear" w:color="auto" w:fill="auto"/>
            <w:tcBorders/>
            <w:tcW w:w="674" w:type="dxa"/>
            <w:textDirection w:val="lrTb"/>
            <w:noWrap w:val="false"/>
          </w:tcPr>
          <w:p>
            <w:pPr>
              <w:pStyle w:val="713"/>
              <w:pBdr/>
              <w:spacing w:before="153"/>
              <w:ind w:right="95"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8.2.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3687" w:type="dxa"/>
            <w:textDirection w:val="lrTb"/>
            <w:noWrap w:val="false"/>
          </w:tcPr>
          <w:p>
            <w:pPr>
              <w:pStyle w:val="713"/>
              <w:pBdr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І</w:t>
            </w:r>
            <w:r>
              <w:rPr>
                <w:sz w:val="28"/>
              </w:rPr>
              <w:t xml:space="preserve">нші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кошти,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заборонені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чинним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законодавством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5387" w:type="dxa"/>
            <w:textDirection w:val="lrTb"/>
            <w:noWrap w:val="false"/>
          </w:tcPr>
          <w:p>
            <w:pPr>
              <w:pStyle w:val="713"/>
              <w:pBdr/>
              <w:spacing/>
              <w:ind w:left="10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13"/>
              <w:pBdr/>
              <w:spacing/>
              <w:ind w:left="108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  <w:lang w:val="ru-RU"/>
              </w:rPr>
              <w:t xml:space="preserve">100</w:t>
            </w:r>
            <w:r>
              <w:rPr>
                <w:sz w:val="28"/>
              </w:rPr>
              <w:t xml:space="preserve">,0</w:t>
            </w:r>
            <w:r>
              <w:rPr>
                <w:sz w:val="28"/>
              </w:rPr>
              <w:t xml:space="preserve"> тис.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грн</w:t>
            </w:r>
            <w:r>
              <w:rPr>
                <w:sz w:val="28"/>
              </w:rPr>
            </w:r>
          </w:p>
        </w:tc>
      </w:tr>
    </w:tbl>
    <w:p>
      <w:pPr>
        <w:pBdr/>
        <w:spacing/>
        <w:ind/>
        <w:rPr>
          <w:sz w:val="28"/>
        </w:rPr>
        <w:sectPr>
          <w:footnotePr/>
          <w:endnotePr/>
          <w:type w:val="nextPage"/>
          <w:pgSz w:h="16840" w:orient="portrait" w:w="11910"/>
          <w:pgMar w:top="1134" w:right="567" w:bottom="1134" w:left="1701" w:header="523" w:footer="0" w:gutter="0"/>
          <w:cols w:num="1" w:sep="0" w:space="720" w:equalWidth="1"/>
        </w:sectPr>
      </w:pPr>
      <w:r>
        <w:rPr>
          <w:sz w:val="28"/>
        </w:rPr>
      </w:r>
      <w:r>
        <w:rPr>
          <w:sz w:val="28"/>
        </w:rPr>
      </w:r>
    </w:p>
    <w:p>
      <w:pPr>
        <w:pStyle w:val="710"/>
        <w:pBdr/>
        <w:tabs>
          <w:tab w:val="left" w:leader="none" w:pos="1238"/>
        </w:tabs>
        <w:spacing w:line="242" w:lineRule="auto"/>
        <w:ind w:right="-75" w:firstLine="567" w:left="0"/>
        <w:jc w:val="center"/>
        <w:rPr>
          <w:spacing w:val="25"/>
        </w:rPr>
      </w:pPr>
      <w:r/>
      <w:bookmarkStart w:id="1" w:name="_TOC_250004"/>
      <w:r>
        <w:t xml:space="preserve">2. </w:t>
      </w:r>
      <w:r>
        <w:t xml:space="preserve">Визначення</w:t>
      </w:r>
      <w:r>
        <w:t xml:space="preserve"> </w:t>
      </w:r>
      <w:r>
        <w:t xml:space="preserve">проблем</w:t>
      </w:r>
      <w:r>
        <w:t xml:space="preserve">и</w:t>
      </w:r>
      <w:r>
        <w:t xml:space="preserve">,</w:t>
      </w:r>
      <w:r>
        <w:rPr>
          <w:spacing w:val="25"/>
        </w:rPr>
      </w:r>
    </w:p>
    <w:p>
      <w:pPr>
        <w:pStyle w:val="710"/>
        <w:pBdr/>
        <w:tabs>
          <w:tab w:val="left" w:leader="none" w:pos="1238"/>
        </w:tabs>
        <w:spacing w:line="242" w:lineRule="auto"/>
        <w:ind w:right="-75" w:firstLine="567" w:left="0"/>
        <w:jc w:val="center"/>
        <w:rPr/>
      </w:pPr>
      <w:r>
        <w:t xml:space="preserve">на</w:t>
      </w:r>
      <w:r>
        <w:t xml:space="preserve"> </w:t>
      </w:r>
      <w:r>
        <w:t xml:space="preserve">розв’язання</w:t>
      </w:r>
      <w:r>
        <w:t xml:space="preserve"> </w:t>
      </w:r>
      <w:r>
        <w:t xml:space="preserve">якої</w:t>
      </w:r>
      <w:r>
        <w:t xml:space="preserve"> </w:t>
      </w:r>
      <w:r>
        <w:t xml:space="preserve">спрямована</w:t>
      </w:r>
      <w:bookmarkEnd w:id="1"/>
      <w:r>
        <w:t xml:space="preserve"> </w:t>
      </w:r>
      <w:r>
        <w:t xml:space="preserve">Програма</w:t>
      </w:r>
      <w:r/>
    </w:p>
    <w:p>
      <w:pPr>
        <w:pStyle w:val="709"/>
        <w:pBdr/>
        <w:tabs>
          <w:tab w:val="left" w:leader="none" w:pos="1238"/>
        </w:tabs>
        <w:spacing/>
        <w:ind w:firstLine="567" w:left="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09"/>
        <w:pBdr/>
        <w:shd w:val="clear" w:color="auto" w:fill="ffffff" w:themeFill="background1"/>
        <w:spacing/>
        <w:ind w:right="-75" w:firstLine="567" w:left="0"/>
        <w:jc w:val="both"/>
        <w:rPr/>
      </w:pPr>
      <w:r>
        <w:t xml:space="preserve">Обласна програма</w:t>
      </w:r>
      <w:r>
        <w:t xml:space="preserve"> </w:t>
      </w:r>
      <w:r>
        <w:t xml:space="preserve">охорони та збереження пам’яток архітектури, містобудування та садово-паркового мистецтва Чернігівської області на 2025-2030 роки (далі – Програма) розроблена на</w:t>
      </w:r>
      <w:r>
        <w:t xml:space="preserve"> </w:t>
      </w:r>
      <w:r>
        <w:t xml:space="preserve">підставі</w:t>
      </w:r>
      <w:r>
        <w:t xml:space="preserve"> </w:t>
      </w:r>
      <w:r>
        <w:t xml:space="preserve">Закону</w:t>
      </w:r>
      <w:r>
        <w:t xml:space="preserve"> </w:t>
      </w:r>
      <w:r>
        <w:t xml:space="preserve">України</w:t>
      </w:r>
      <w:r>
        <w:t xml:space="preserve"> </w:t>
      </w:r>
      <w:r>
        <w:t xml:space="preserve">«Про</w:t>
      </w:r>
      <w:r>
        <w:t xml:space="preserve"> </w:t>
      </w:r>
      <w:r>
        <w:t xml:space="preserve">охорону</w:t>
      </w:r>
      <w:r>
        <w:t xml:space="preserve"> </w:t>
      </w:r>
      <w:r>
        <w:t xml:space="preserve">культурної</w:t>
      </w:r>
      <w:r>
        <w:t xml:space="preserve"> </w:t>
      </w:r>
      <w:r>
        <w:t xml:space="preserve">спадщини», постанови Кабінету </w:t>
      </w:r>
      <w:r>
        <w:t xml:space="preserve">М</w:t>
      </w:r>
      <w:r>
        <w:t xml:space="preserve">іністрів України від 28.12.2001 № 1768 «Про затвердження Порядку укладення охоронних договорів на пам’ятки культурної спадщ</w:t>
      </w:r>
      <w:r>
        <w:t xml:space="preserve">ини, щойно виявлені об’єкти культурної спадщини чи їх частини» (зі змінами), спільного наказу Міністерства культури і мистецтв України та Державного комітету України з будівництва та архітектури від 27.01.2004 № 30/10 «Про затвердження Порядку встановлення</w:t>
      </w:r>
      <w:r>
        <w:t xml:space="preserve"> та утримання охоронних дощок та охоронних знаків на нерухомих пам’ятках», наказу Міністерства культури України від 11.03.2013 № 158 «Про затвердження Порядку обліку об’єктів культурної спадщини» (зі змінами) та інших чинних нормативно-правових документів.</w:t>
      </w:r>
      <w:r/>
    </w:p>
    <w:p>
      <w:pPr>
        <w:pStyle w:val="709"/>
        <w:pBdr/>
        <w:shd w:val="clear" w:color="auto" w:fill="ffffff" w:themeFill="background1"/>
        <w:spacing/>
        <w:ind w:right="-75" w:firstLine="567" w:left="0"/>
        <w:jc w:val="both"/>
        <w:rPr/>
      </w:pPr>
      <w:r>
        <w:t xml:space="preserve">Захист і збереження культурної спадщини є невід’ємною складовою національної та регіональної культури для самоідентифікації нинішнього і майбутніх поколінь українського народу.</w:t>
      </w:r>
      <w:r/>
    </w:p>
    <w:p>
      <w:pPr>
        <w:pStyle w:val="709"/>
        <w:pBdr/>
        <w:shd w:val="clear" w:color="auto" w:fill="ffffff" w:themeFill="background1"/>
        <w:spacing/>
        <w:ind w:right="-75" w:firstLine="567" w:left="0"/>
        <w:jc w:val="both"/>
        <w:rPr/>
      </w:pPr>
      <w:r>
        <w:t xml:space="preserve">Культурна спадщина здатна підвищити привабливість територій, бути інструментом місцевого економічного розвитку та стимулювати національну пам’ять.</w:t>
      </w:r>
      <w:r/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Чернігівська область </w:t>
      </w:r>
      <w:r>
        <w:rPr>
          <w:sz w:val="28"/>
          <w:szCs w:val="28"/>
        </w:rPr>
        <w:t xml:space="preserve">займає одне з провідних місць в</w:t>
      </w:r>
      <w:r>
        <w:rPr>
          <w:sz w:val="28"/>
          <w:szCs w:val="28"/>
        </w:rPr>
        <w:t xml:space="preserve"> Україні по кількості пам’яток архітектури, містобудування та </w:t>
      </w:r>
      <w:r>
        <w:rPr>
          <w:sz w:val="28"/>
          <w:szCs w:val="28"/>
        </w:rPr>
        <w:t xml:space="preserve">садово-паркового мистецтва. На території області налічується 135 пам’яток національного та 175 місцевого значення. Деякі з них об’єднані у заповідники, яких на території області 3: Національний історико-культурний заповідник «Гетьманська столиця», Націонал</w:t>
      </w:r>
      <w:r>
        <w:rPr>
          <w:sz w:val="28"/>
          <w:szCs w:val="28"/>
        </w:rPr>
        <w:t xml:space="preserve">ьний архітектурно-історичний заповідник «Чернігів стародавній», Національний історико-культурний заповідник «Качанівка». Чимало пам’яток становлять виняткову історичну, архітектурну, художню та наукову цінність не тільки для області, а й для всієї України.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Збройна агресія російської федерації проти України завдала значної шкоди об’єктам культурної спадщини на території всієї країни і, зокрема, на території Чернігівської області. Протягом 2022-2024 рок</w:t>
      </w:r>
      <w:r>
        <w:rPr>
          <w:sz w:val="28"/>
          <w:szCs w:val="28"/>
        </w:rPr>
        <w:t xml:space="preserve">ів</w:t>
      </w:r>
      <w:r>
        <w:rPr>
          <w:sz w:val="28"/>
          <w:szCs w:val="28"/>
        </w:rPr>
        <w:t xml:space="preserve"> на території області різного ступеню пошкоджень та руйнувань зазнали 44 пам’ятки архітектури, містобудування та садово-паркового мистецтва національного та місцевого значення.</w:t>
      </w:r>
      <w:r>
        <w:rPr>
          <w:sz w:val="28"/>
          <w:szCs w:val="28"/>
        </w:rPr>
      </w:r>
    </w:p>
    <w:p>
      <w:pPr>
        <w:pStyle w:val="709"/>
        <w:pBdr/>
        <w:shd w:val="clear" w:color="auto" w:fill="ffffff" w:themeFill="background1"/>
        <w:spacing/>
        <w:ind w:right="-75" w:firstLine="567" w:left="0"/>
        <w:jc w:val="both"/>
        <w:rPr/>
      </w:pPr>
      <w:r>
        <w:t xml:space="preserve">Стаття</w:t>
      </w:r>
      <w:r>
        <w:t xml:space="preserve"> </w:t>
      </w:r>
      <w:r>
        <w:t xml:space="preserve">54</w:t>
      </w:r>
      <w:r>
        <w:t xml:space="preserve"> </w:t>
      </w:r>
      <w:r>
        <w:t xml:space="preserve">Конституції</w:t>
      </w:r>
      <w:r>
        <w:t xml:space="preserve"> </w:t>
      </w:r>
      <w:r>
        <w:t xml:space="preserve">України</w:t>
      </w:r>
      <w:r>
        <w:t xml:space="preserve"> </w:t>
      </w:r>
      <w:r>
        <w:t xml:space="preserve">передбачає,</w:t>
      </w:r>
      <w:r>
        <w:t xml:space="preserve"> </w:t>
      </w:r>
      <w:r>
        <w:t xml:space="preserve">що</w:t>
      </w:r>
      <w:r>
        <w:t xml:space="preserve"> </w:t>
      </w:r>
      <w:r>
        <w:t xml:space="preserve">держава</w:t>
      </w:r>
      <w:r>
        <w:t xml:space="preserve"> </w:t>
      </w:r>
      <w:r>
        <w:t xml:space="preserve">забезпечує</w:t>
      </w:r>
      <w:r>
        <w:t xml:space="preserve"> </w:t>
      </w:r>
      <w:r>
        <w:t xml:space="preserve">збереження та охорону культурної спадщини. Відповідно, органи державної</w:t>
      </w:r>
      <w:r>
        <w:t xml:space="preserve"> </w:t>
      </w:r>
      <w:r>
        <w:t xml:space="preserve">влади </w:t>
      </w:r>
      <w:r>
        <w:t xml:space="preserve">та органи місцевого </w:t>
      </w:r>
      <w:r>
        <w:t xml:space="preserve">самоврядування створюють належні умови </w:t>
      </w:r>
      <w:r>
        <w:t xml:space="preserve">для</w:t>
      </w:r>
      <w:r>
        <w:t xml:space="preserve"> </w:t>
      </w:r>
      <w:r>
        <w:t xml:space="preserve">збереження та охорони</w:t>
      </w:r>
      <w:r>
        <w:t xml:space="preserve"> </w:t>
      </w:r>
      <w:r>
        <w:t xml:space="preserve">культурної</w:t>
      </w:r>
      <w:r>
        <w:t xml:space="preserve"> </w:t>
      </w:r>
      <w:r>
        <w:t xml:space="preserve">спадщини</w:t>
      </w:r>
      <w:r>
        <w:t xml:space="preserve"> </w:t>
      </w:r>
      <w:r>
        <w:t xml:space="preserve">на</w:t>
      </w:r>
      <w:r>
        <w:t xml:space="preserve"> </w:t>
      </w:r>
      <w:r>
        <w:t xml:space="preserve">місцях.</w:t>
      </w:r>
      <w:r>
        <w:t xml:space="preserve"> </w:t>
      </w:r>
      <w:r>
        <w:t xml:space="preserve">Розбудова</w:t>
      </w:r>
      <w:r>
        <w:t xml:space="preserve"> </w:t>
      </w:r>
      <w:r>
        <w:t xml:space="preserve">системи</w:t>
      </w:r>
      <w:r>
        <w:t xml:space="preserve"> </w:t>
      </w:r>
      <w:r>
        <w:t xml:space="preserve">державного</w:t>
      </w:r>
      <w:r>
        <w:t xml:space="preserve"> </w:t>
      </w:r>
      <w:r>
        <w:t xml:space="preserve">устрою</w:t>
      </w:r>
      <w:r>
        <w:t xml:space="preserve"> </w:t>
      </w:r>
      <w:r>
        <w:t xml:space="preserve">України, повноцінної системи державної влади створюють відповідні умови</w:t>
      </w:r>
      <w:r>
        <w:t xml:space="preserve"> </w:t>
      </w:r>
      <w:r>
        <w:t xml:space="preserve">щодо збереження національної культурної</w:t>
      </w:r>
      <w:r>
        <w:t xml:space="preserve"> </w:t>
      </w:r>
      <w:r>
        <w:t xml:space="preserve">спадщини.</w:t>
      </w:r>
      <w:r/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Важливим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напрямками</w:t>
      </w:r>
      <w:r>
        <w:rPr>
          <w:sz w:val="28"/>
          <w:szCs w:val="28"/>
        </w:rPr>
        <w:t xml:space="preserve"> охорони </w:t>
      </w:r>
      <w:r>
        <w:rPr>
          <w:sz w:val="28"/>
          <w:szCs w:val="28"/>
        </w:rPr>
        <w:t xml:space="preserve">та збереження об’єктів культурної спадщини </w:t>
      </w:r>
      <w:r>
        <w:rPr>
          <w:sz w:val="28"/>
          <w:szCs w:val="28"/>
        </w:rPr>
        <w:t xml:space="preserve">є: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виявлення нерухомих об’єктів культурної спадщини;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взяття нерухомих об’єктів культурної спадщини на державний облік;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здійснення заходів щодо занесення нерухомих об’єктів культурної спадщини до Державного реєстру нерухомих пам’яток України;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моніторингу та інвентаризації нерухомих об’єктів культурної спадщини;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облікових справ об’єктів культурної спадщини;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захисту об’єктів культурної спадщини від загрози знищення, руйнування або пошкодження;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укладення охоронних договорів на об’єкти культурної спадщини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встановлення та утримання охоронних дощок </w:t>
      </w:r>
      <w:r>
        <w:rPr>
          <w:sz w:val="28"/>
          <w:szCs w:val="28"/>
        </w:rPr>
        <w:t xml:space="preserve">на об’єктах культурної спадщини та ін.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r>
        <w:rPr>
          <w:sz w:val="28"/>
          <w:szCs w:val="28"/>
        </w:rPr>
        <w:t xml:space="preserve">вищенаведених напрямків </w:t>
      </w:r>
      <w:r>
        <w:rPr>
          <w:sz w:val="28"/>
          <w:szCs w:val="28"/>
        </w:rPr>
        <w:t xml:space="preserve">можлива за умови</w:t>
      </w:r>
      <w:r>
        <w:rPr>
          <w:sz w:val="28"/>
          <w:szCs w:val="28"/>
        </w:rPr>
        <w:t xml:space="preserve"> достатнього фінансування, що </w:t>
      </w:r>
      <w:r>
        <w:rPr>
          <w:sz w:val="28"/>
          <w:szCs w:val="28"/>
        </w:rPr>
        <w:t xml:space="preserve">дасть змогу здійснити заходи практичного спрямування щодо охорони й збереження пам’яток та об’єктів </w:t>
      </w:r>
      <w:r>
        <w:rPr>
          <w:sz w:val="28"/>
          <w:szCs w:val="28"/>
        </w:rPr>
        <w:t xml:space="preserve">культурної спадщини Чернігівської області.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0"/>
        <w:pBdr/>
        <w:shd w:val="clear" w:color="auto" w:fill="ffffff" w:themeFill="background1"/>
        <w:tabs>
          <w:tab w:val="left" w:leader="none" w:pos="0"/>
        </w:tabs>
        <w:spacing/>
        <w:ind w:hanging="709" w:left="709"/>
        <w:jc w:val="center"/>
        <w:rPr/>
      </w:pPr>
      <w:r/>
      <w:bookmarkStart w:id="2" w:name="_TOC_250003"/>
      <w:r>
        <w:t xml:space="preserve">3. </w:t>
      </w:r>
      <w:r>
        <w:t xml:space="preserve">Мета</w:t>
      </w:r>
      <w:bookmarkEnd w:id="2"/>
      <w:r>
        <w:t xml:space="preserve"> </w:t>
      </w:r>
      <w:r>
        <w:t xml:space="preserve">Програми</w:t>
      </w:r>
      <w:r/>
    </w:p>
    <w:p>
      <w:pPr>
        <w:pStyle w:val="710"/>
        <w:pBdr/>
        <w:shd w:val="clear" w:color="auto" w:fill="ffffff" w:themeFill="background1"/>
        <w:tabs>
          <w:tab w:val="left" w:leader="none" w:pos="0"/>
        </w:tabs>
        <w:spacing/>
        <w:ind w:firstLine="567" w:left="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9"/>
        <w:pBdr/>
        <w:shd w:val="clear" w:color="auto" w:fill="ffffff" w:themeFill="background1"/>
        <w:tabs>
          <w:tab w:val="left" w:leader="none" w:pos="0"/>
        </w:tabs>
        <w:spacing/>
        <w:ind w:right="3" w:firstLine="567" w:left="0"/>
        <w:jc w:val="both"/>
        <w:rPr/>
      </w:pPr>
      <w:r>
        <w:t xml:space="preserve">Основною метою П</w:t>
      </w:r>
      <w:r>
        <w:t xml:space="preserve">рограми є </w:t>
      </w:r>
      <w:r>
        <w:t xml:space="preserve">реалізація державної політики </w:t>
      </w:r>
      <w:r>
        <w:t xml:space="preserve">у сфері охорони культурної спадщини, щодо забезпечення охорони, збереження, використання та популяризації пам’яток архітектури, містобудування та садово-паркового мистецтва Чернігівської області.</w:t>
      </w:r>
      <w:r/>
    </w:p>
    <w:p>
      <w:pPr>
        <w:pStyle w:val="710"/>
        <w:pBdr/>
        <w:shd w:val="clear" w:color="auto" w:fill="ffffff" w:themeFill="background1"/>
        <w:tabs>
          <w:tab w:val="left" w:leader="none" w:pos="0"/>
          <w:tab w:val="left" w:leader="none" w:pos="1142"/>
        </w:tabs>
        <w:spacing/>
        <w:ind w:firstLine="567" w:left="709"/>
        <w:jc w:val="both"/>
        <w:rPr>
          <w:b w:val="0"/>
          <w:bCs w:val="0"/>
          <w:sz w:val="20"/>
          <w:szCs w:val="20"/>
        </w:rPr>
      </w:pPr>
      <w:r/>
      <w:bookmarkStart w:id="3" w:name="_TOC_250002"/>
      <w:r/>
      <w:r>
        <w:rPr>
          <w:b w:val="0"/>
          <w:bCs w:val="0"/>
          <w:sz w:val="20"/>
          <w:szCs w:val="2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/>
        <w:ind w:firstLine="567" w:left="0"/>
        <w:jc w:val="center"/>
        <w:rPr/>
      </w:pPr>
      <w:r>
        <w:rPr>
          <w:bCs w:val="0"/>
        </w:rPr>
        <w:t xml:space="preserve">4.</w:t>
      </w:r>
      <w:r>
        <w:rPr>
          <w:b w:val="0"/>
          <w:bCs w:val="0"/>
        </w:rPr>
        <w:t xml:space="preserve"> </w:t>
      </w:r>
      <w:r>
        <w:t xml:space="preserve">Шляхи</w:t>
      </w:r>
      <w:r>
        <w:t xml:space="preserve"> </w:t>
      </w:r>
      <w:r>
        <w:t xml:space="preserve">розв’язання</w:t>
      </w:r>
      <w:r>
        <w:t xml:space="preserve"> </w:t>
      </w:r>
      <w:r>
        <w:t xml:space="preserve">проблем</w:t>
      </w:r>
      <w:r>
        <w:t xml:space="preserve">и</w:t>
      </w:r>
      <w:r>
        <w:t xml:space="preserve">,</w:t>
      </w:r>
      <w:r>
        <w:t xml:space="preserve"> </w:t>
      </w:r>
      <w:r>
        <w:t xml:space="preserve">фінансове</w:t>
      </w:r>
      <w:r>
        <w:t xml:space="preserve"> </w:t>
      </w:r>
      <w:r>
        <w:t xml:space="preserve">забезпечення</w:t>
      </w:r>
      <w:bookmarkEnd w:id="3"/>
      <w:r>
        <w:t xml:space="preserve"> </w:t>
      </w:r>
      <w:r>
        <w:t xml:space="preserve">Програми</w:t>
      </w:r>
      <w:r/>
    </w:p>
    <w:p>
      <w:pPr>
        <w:pStyle w:val="710"/>
        <w:pBdr/>
        <w:tabs>
          <w:tab w:val="left" w:leader="none" w:pos="0"/>
          <w:tab w:val="left" w:leader="none" w:pos="1142"/>
        </w:tabs>
        <w:spacing/>
        <w:ind w:firstLine="567" w:left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Шляхи </w:t>
      </w:r>
      <w:r>
        <w:rPr>
          <w:b w:val="0"/>
        </w:rPr>
        <w:t xml:space="preserve">здійснення </w:t>
      </w:r>
      <w:r>
        <w:rPr>
          <w:b w:val="0"/>
        </w:rPr>
        <w:t xml:space="preserve">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1) </w:t>
      </w:r>
      <w:r>
        <w:rPr>
          <w:b w:val="0"/>
        </w:rPr>
        <w:t xml:space="preserve">проведення досліджень щодо виявлення об’єктів культурної спадщини;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2) </w:t>
      </w:r>
      <w:r>
        <w:rPr>
          <w:b w:val="0"/>
        </w:rPr>
        <w:t xml:space="preserve">виготовлення облікових карток на </w:t>
      </w:r>
      <w:r>
        <w:rPr>
          <w:b w:val="0"/>
        </w:rPr>
        <w:t xml:space="preserve">об’єкти, які виявлено в процесі досліджень і щодо яких подано Картку виявлення об’єкта культурної спадщини;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3) занесення </w:t>
      </w:r>
      <w:r>
        <w:rPr>
          <w:b w:val="0"/>
        </w:rPr>
        <w:t xml:space="preserve">об’єктів архітектури, містобудування та садово-паркового мистецтва</w:t>
      </w:r>
      <w:r>
        <w:rPr>
          <w:b w:val="0"/>
        </w:rPr>
        <w:t xml:space="preserve"> </w:t>
      </w:r>
      <w:r>
        <w:rPr>
          <w:b w:val="0"/>
        </w:rPr>
        <w:t xml:space="preserve">до Державного реєстру нерухомих пам’яток України;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4) </w:t>
      </w:r>
      <w:r>
        <w:rPr>
          <w:b w:val="0"/>
        </w:rPr>
        <w:t xml:space="preserve">проведення моніторингу пам’яток архітектури, містобудування та садово-паркового мистецтва</w:t>
      </w:r>
      <w:r>
        <w:rPr>
          <w:b w:val="0"/>
        </w:rPr>
        <w:t xml:space="preserve"> </w:t>
      </w:r>
      <w:r>
        <w:rPr>
          <w:b w:val="0"/>
        </w:rPr>
        <w:t xml:space="preserve">з метою запобігання руйнуванню або заподіянню шкоди, забезпечення захисту, збереження, утримання, відповідного використання об’єкта культурної спадщини, його території та зон охорони пам’яток;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5</w:t>
      </w:r>
      <w:r>
        <w:rPr>
          <w:b w:val="0"/>
        </w:rPr>
        <w:t xml:space="preserve">) формування облікових справ на пам’ятки архітектури, містобудування та садово-паркового мистецтва місцевого значення</w:t>
      </w:r>
      <w:r>
        <w:rPr>
          <w:b w:val="0"/>
        </w:rPr>
        <w:t xml:space="preserve">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6</w:t>
      </w:r>
      <w:r>
        <w:rPr>
          <w:b w:val="0"/>
        </w:rPr>
        <w:t xml:space="preserve">) </w:t>
      </w:r>
      <w:r>
        <w:rPr>
          <w:b w:val="0"/>
        </w:rPr>
        <w:t xml:space="preserve">виготовлення та </w:t>
      </w:r>
      <w:r>
        <w:rPr>
          <w:b w:val="0"/>
        </w:rPr>
        <w:t xml:space="preserve">в</w:t>
      </w:r>
      <w:r>
        <w:rPr>
          <w:b w:val="0"/>
        </w:rPr>
        <w:t xml:space="preserve">становлення охоронних дощок і охоронних знаків </w:t>
      </w:r>
      <w:r>
        <w:rPr>
          <w:b w:val="0"/>
        </w:rPr>
        <w:t xml:space="preserve">на </w:t>
      </w:r>
      <w:r>
        <w:rPr>
          <w:b w:val="0"/>
        </w:rPr>
        <w:t xml:space="preserve">пам’ятках архітектури, містобудування та садово-паркового мистецтва –</w:t>
      </w:r>
      <w:r>
        <w:rPr>
          <w:b w:val="0"/>
        </w:rPr>
        <w:t xml:space="preserve"> один з обов</w:t>
      </w:r>
      <w:r>
        <w:rPr>
          <w:b w:val="0"/>
        </w:rPr>
        <w:t xml:space="preserve">’язкових заходів </w:t>
      </w:r>
      <w:r>
        <w:rPr>
          <w:b w:val="0"/>
        </w:rPr>
        <w:t xml:space="preserve">збереження та захисту пам</w:t>
      </w:r>
      <w:r>
        <w:rPr>
          <w:b w:val="0"/>
        </w:rPr>
        <w:t xml:space="preserve">’</w:t>
      </w:r>
      <w:r>
        <w:rPr>
          <w:b w:val="0"/>
        </w:rPr>
        <w:t xml:space="preserve">ят</w:t>
      </w:r>
      <w:r>
        <w:rPr>
          <w:b w:val="0"/>
        </w:rPr>
        <w:t xml:space="preserve">о</w:t>
      </w:r>
      <w:r>
        <w:rPr>
          <w:b w:val="0"/>
        </w:rPr>
        <w:t xml:space="preserve">к від пошко</w:t>
      </w:r>
      <w:r>
        <w:rPr>
          <w:b w:val="0"/>
        </w:rPr>
        <w:t xml:space="preserve">дження, руйнування або знищення;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  <w:lang w:val="ru-RU"/>
        </w:rPr>
      </w:pPr>
      <w:r>
        <w:rPr>
          <w:b w:val="0"/>
        </w:rPr>
        <w:t xml:space="preserve">7</w:t>
      </w:r>
      <w:r>
        <w:rPr>
          <w:b w:val="0"/>
        </w:rPr>
        <w:t xml:space="preserve">) виготовлення науково-</w:t>
      </w:r>
      <w:r>
        <w:rPr>
          <w:b w:val="0"/>
        </w:rPr>
        <w:t xml:space="preserve">про</w:t>
      </w:r>
      <w:r>
        <w:rPr>
          <w:b w:val="0"/>
        </w:rPr>
        <w:t xml:space="preserve">є</w:t>
      </w:r>
      <w:r>
        <w:rPr>
          <w:b w:val="0"/>
        </w:rPr>
        <w:t xml:space="preserve">ктної документації на проведення протиаварійних, консерваційних та реставраційних робіт та проходження експертизи на пам’ятках архітектури, містобудування та садово-паркового мистецтва</w:t>
      </w:r>
      <w:r>
        <w:rPr>
          <w:b w:val="0"/>
          <w:lang w:val="ru-RU"/>
        </w:rPr>
        <w:t xml:space="preserve">;</w:t>
      </w:r>
      <w:r>
        <w:rPr>
          <w:b w:val="0"/>
          <w:lang w:val="ru-RU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8) </w:t>
      </w:r>
      <w:r>
        <w:rPr>
          <w:b w:val="0"/>
        </w:rPr>
        <w:t xml:space="preserve">реставрація, протиаварійні роботи на пам’ятці архітектури місцевого значення «Губернсь</w:t>
      </w:r>
      <w:r>
        <w:rPr>
          <w:b w:val="0"/>
        </w:rPr>
        <w:t xml:space="preserve">ка земська управа» (охоронний № 2-Чг) по вул. </w:t>
      </w:r>
      <w:r>
        <w:rPr>
          <w:b w:val="0"/>
        </w:rPr>
        <w:t xml:space="preserve">Шевченка,</w:t>
      </w:r>
      <w:r>
        <w:rPr>
          <w:b w:val="0"/>
        </w:rPr>
        <w:t xml:space="preserve"> 7, м. </w:t>
      </w:r>
      <w:r>
        <w:rPr>
          <w:b w:val="0"/>
        </w:rPr>
        <w:t xml:space="preserve">Чернігів, Чернігівської області</w:t>
      </w:r>
      <w:r>
        <w:rPr>
          <w:b w:val="0"/>
        </w:rPr>
        <w:t xml:space="preserve">.</w:t>
      </w:r>
      <w:r>
        <w:rPr>
          <w:b w:val="0"/>
          <w:lang w:val="ru-RU"/>
        </w:rPr>
      </w:r>
    </w:p>
    <w:p>
      <w:pPr>
        <w:pStyle w:val="709"/>
        <w:pBdr/>
        <w:tabs>
          <w:tab w:val="left" w:leader="none" w:pos="0"/>
        </w:tabs>
        <w:spacing/>
        <w:ind w:right="161" w:firstLine="567" w:left="0"/>
        <w:jc w:val="both"/>
        <w:rPr/>
      </w:pPr>
      <w:r>
        <w:t xml:space="preserve">Фінансування</w:t>
      </w:r>
      <w:r>
        <w:t xml:space="preserve"> </w:t>
      </w:r>
      <w:r>
        <w:t xml:space="preserve">Програми</w:t>
      </w:r>
      <w:r>
        <w:t xml:space="preserve"> </w:t>
      </w:r>
      <w:r>
        <w:t xml:space="preserve">здійснюється</w:t>
      </w:r>
      <w:r>
        <w:t xml:space="preserve"> </w:t>
      </w:r>
      <w:r>
        <w:t xml:space="preserve">за</w:t>
      </w:r>
      <w:r>
        <w:t xml:space="preserve"> </w:t>
      </w:r>
      <w:r>
        <w:t xml:space="preserve">рахунок</w:t>
      </w:r>
      <w:r>
        <w:t xml:space="preserve"> </w:t>
      </w:r>
      <w:r>
        <w:t xml:space="preserve">коштів</w:t>
      </w:r>
      <w:r>
        <w:t xml:space="preserve"> </w:t>
      </w:r>
      <w:r>
        <w:t xml:space="preserve">обласного</w:t>
      </w:r>
      <w:r>
        <w:t xml:space="preserve"> </w:t>
      </w:r>
      <w:r>
        <w:t xml:space="preserve">бюджету</w:t>
      </w:r>
      <w:r>
        <w:t xml:space="preserve"> </w:t>
      </w:r>
      <w:r>
        <w:t xml:space="preserve">у</w:t>
      </w:r>
      <w:r>
        <w:t xml:space="preserve"> </w:t>
      </w:r>
      <w:r>
        <w:t xml:space="preserve">межах</w:t>
      </w:r>
      <w:r>
        <w:t xml:space="preserve"> </w:t>
      </w:r>
      <w:r>
        <w:t xml:space="preserve">асигнувань,</w:t>
      </w:r>
      <w:r>
        <w:t xml:space="preserve"> </w:t>
      </w:r>
      <w:r>
        <w:t xml:space="preserve">які</w:t>
      </w:r>
      <w:r>
        <w:t xml:space="preserve"> </w:t>
      </w:r>
      <w:r>
        <w:t xml:space="preserve">виділяються</w:t>
      </w:r>
      <w:r>
        <w:t xml:space="preserve"> </w:t>
      </w:r>
      <w:r>
        <w:t xml:space="preserve">органам</w:t>
      </w:r>
      <w:r>
        <w:t xml:space="preserve"> </w:t>
      </w:r>
      <w:r>
        <w:t xml:space="preserve">виконавчої</w:t>
      </w:r>
      <w:r>
        <w:t xml:space="preserve"> </w:t>
      </w:r>
      <w:r>
        <w:t xml:space="preserve">влади</w:t>
      </w:r>
      <w:r>
        <w:t xml:space="preserve"> </w:t>
      </w:r>
      <w:r>
        <w:t xml:space="preserve">з</w:t>
      </w:r>
      <w:r>
        <w:t xml:space="preserve"> </w:t>
      </w:r>
      <w:r>
        <w:t xml:space="preserve">урахуванням</w:t>
      </w:r>
      <w:r>
        <w:t xml:space="preserve"> </w:t>
      </w:r>
      <w:r>
        <w:t xml:space="preserve">завдань,</w:t>
      </w:r>
      <w:r>
        <w:t xml:space="preserve"> </w:t>
      </w:r>
      <w:r>
        <w:t xml:space="preserve">передбачених</w:t>
      </w:r>
      <w:r>
        <w:t xml:space="preserve"> </w:t>
      </w:r>
      <w:r>
        <w:t xml:space="preserve">Програмою,</w:t>
      </w:r>
      <w:r>
        <w:t xml:space="preserve"> </w:t>
      </w:r>
      <w:r>
        <w:t xml:space="preserve">а</w:t>
      </w:r>
      <w:r>
        <w:t xml:space="preserve"> </w:t>
      </w:r>
      <w:r>
        <w:t xml:space="preserve">також</w:t>
      </w:r>
      <w:r>
        <w:t xml:space="preserve"> </w:t>
      </w:r>
      <w:r>
        <w:t xml:space="preserve">інших</w:t>
      </w:r>
      <w:r>
        <w:t xml:space="preserve"> </w:t>
      </w:r>
      <w:r>
        <w:t xml:space="preserve">коштів,</w:t>
      </w:r>
      <w:r>
        <w:t xml:space="preserve"> </w:t>
      </w:r>
      <w:r>
        <w:t xml:space="preserve">не</w:t>
      </w:r>
      <w:r>
        <w:t xml:space="preserve"> </w:t>
      </w:r>
      <w:r>
        <w:t xml:space="preserve">заборонених</w:t>
      </w:r>
      <w:r>
        <w:t xml:space="preserve"> </w:t>
      </w:r>
      <w:r>
        <w:t xml:space="preserve">чинним</w:t>
      </w:r>
      <w:r>
        <w:t xml:space="preserve"> </w:t>
      </w:r>
      <w:r>
        <w:t xml:space="preserve">законодавством.</w:t>
      </w:r>
      <w:r>
        <w:t xml:space="preserve"> </w:t>
      </w:r>
      <w:r>
        <w:t xml:space="preserve">Ресурсне</w:t>
      </w:r>
      <w:r>
        <w:t xml:space="preserve"> </w:t>
      </w:r>
      <w:r>
        <w:t xml:space="preserve">забезпечення</w:t>
      </w:r>
      <w:r>
        <w:t xml:space="preserve"> </w:t>
      </w:r>
      <w:r>
        <w:t xml:space="preserve">Програми</w:t>
      </w:r>
      <w:r>
        <w:t xml:space="preserve"> </w:t>
      </w:r>
      <w:r>
        <w:t xml:space="preserve">зазначене</w:t>
      </w:r>
      <w:r>
        <w:t xml:space="preserve"> </w:t>
      </w:r>
      <w:r>
        <w:t xml:space="preserve">в</w:t>
      </w:r>
      <w:r>
        <w:t xml:space="preserve"> </w:t>
      </w:r>
      <w:r>
        <w:t xml:space="preserve">додатку</w:t>
      </w:r>
      <w:r>
        <w:t xml:space="preserve"> </w:t>
      </w:r>
      <w:r>
        <w:t xml:space="preserve">1.</w:t>
      </w:r>
      <w:r/>
    </w:p>
    <w:p>
      <w:pPr>
        <w:pStyle w:val="709"/>
        <w:pBdr/>
        <w:tabs>
          <w:tab w:val="left" w:leader="none" w:pos="0"/>
        </w:tabs>
        <w:spacing/>
        <w:ind w:right="161" w:firstLine="567" w:left="0"/>
        <w:jc w:val="both"/>
        <w:rPr/>
      </w:pPr>
      <w:r>
        <w:t xml:space="preserve">Обсяг фінансування Програми на 2</w:t>
      </w:r>
      <w:r>
        <w:t xml:space="preserve">025-2030 роки</w:t>
      </w:r>
      <w:r>
        <w:t xml:space="preserve"> за</w:t>
      </w:r>
      <w:r>
        <w:t xml:space="preserve"> </w:t>
      </w:r>
      <w:r>
        <w:t xml:space="preserve">рахунок коштів обласного бюджету складає </w:t>
      </w:r>
      <w:r>
        <w:t xml:space="preserve">5170</w:t>
      </w:r>
      <w:r>
        <w:t xml:space="preserve">,0</w:t>
      </w:r>
      <w:r>
        <w:t xml:space="preserve"> тис. грн та інших коштів,</w:t>
      </w:r>
      <w:r>
        <w:t xml:space="preserve"> </w:t>
      </w:r>
      <w:r>
        <w:t xml:space="preserve">не заборонених законодавством – </w:t>
      </w:r>
      <w:r>
        <w:rPr>
          <w:lang w:val="ru-RU"/>
        </w:rPr>
        <w:t xml:space="preserve">2100</w:t>
      </w:r>
      <w:r>
        <w:t xml:space="preserve">,0</w:t>
      </w:r>
      <w:r>
        <w:t xml:space="preserve"> тис. грн</w:t>
      </w:r>
      <w:r>
        <w:t xml:space="preserve">.</w:t>
      </w:r>
      <w:r>
        <w:t xml:space="preserve"> Головним</w:t>
      </w:r>
      <w:r>
        <w:t xml:space="preserve">и розпорядниками </w:t>
      </w:r>
      <w:r>
        <w:t xml:space="preserve">коштів</w:t>
      </w:r>
      <w:r>
        <w:t xml:space="preserve"> є </w:t>
      </w:r>
      <w:r>
        <w:t xml:space="preserve">Управління</w:t>
      </w:r>
      <w:r>
        <w:t xml:space="preserve"> </w:t>
      </w:r>
      <w:r>
        <w:t xml:space="preserve">містобудування</w:t>
      </w:r>
      <w:r>
        <w:t xml:space="preserve"> </w:t>
      </w:r>
      <w:r>
        <w:t xml:space="preserve">та</w:t>
      </w:r>
      <w:r>
        <w:t xml:space="preserve"> </w:t>
      </w:r>
      <w:r>
        <w:t xml:space="preserve">архітектури</w:t>
      </w:r>
      <w:r>
        <w:t xml:space="preserve"> </w:t>
      </w:r>
      <w:r>
        <w:t xml:space="preserve">Чернігівської</w:t>
      </w:r>
      <w:r>
        <w:t xml:space="preserve"> </w:t>
      </w:r>
      <w:r>
        <w:t xml:space="preserve">обласної</w:t>
      </w:r>
      <w:r>
        <w:t xml:space="preserve"> </w:t>
      </w:r>
      <w:r>
        <w:t xml:space="preserve">державної</w:t>
      </w:r>
      <w:r>
        <w:t xml:space="preserve"> </w:t>
      </w:r>
      <w:r>
        <w:t xml:space="preserve">адміністрації</w:t>
      </w:r>
      <w:r>
        <w:t xml:space="preserve"> та Управління капітального будівництва Чернігівської обласної державної адміністрації</w:t>
      </w:r>
      <w:r>
        <w:t xml:space="preserve">.</w:t>
      </w:r>
      <w:r/>
    </w:p>
    <w:p>
      <w:pPr>
        <w:pStyle w:val="709"/>
        <w:pBdr/>
        <w:shd w:val="clear" w:color="auto" w:fill="ffffff" w:themeFill="background1"/>
        <w:tabs>
          <w:tab w:val="left" w:leader="none" w:pos="0"/>
        </w:tabs>
        <w:spacing w:before="1"/>
        <w:ind w:right="165" w:firstLine="567" w:left="0"/>
        <w:jc w:val="both"/>
        <w:rPr/>
      </w:pPr>
      <w:r>
        <w:t xml:space="preserve">Відповідальні</w:t>
      </w:r>
      <w:r>
        <w:t xml:space="preserve"> </w:t>
      </w:r>
      <w:r>
        <w:t xml:space="preserve">виконавці</w:t>
      </w:r>
      <w:r>
        <w:t xml:space="preserve"> </w:t>
      </w:r>
      <w:r>
        <w:t xml:space="preserve">Програми</w:t>
      </w:r>
      <w:r>
        <w:t xml:space="preserve"> </w:t>
      </w:r>
      <w:r>
        <w:t xml:space="preserve">–</w:t>
      </w:r>
      <w:r>
        <w:t xml:space="preserve"> </w:t>
      </w:r>
      <w:r>
        <w:t xml:space="preserve">Управління</w:t>
      </w:r>
      <w:r>
        <w:t xml:space="preserve"> </w:t>
      </w:r>
      <w:r>
        <w:t xml:space="preserve">містобудування</w:t>
      </w:r>
      <w:r>
        <w:t xml:space="preserve"> </w:t>
      </w:r>
      <w:r>
        <w:t xml:space="preserve">та</w:t>
      </w:r>
      <w:r>
        <w:t xml:space="preserve"> </w:t>
      </w:r>
      <w:r>
        <w:t xml:space="preserve">архітектури Чернігівської</w:t>
      </w:r>
      <w:r>
        <w:t xml:space="preserve"> </w:t>
      </w:r>
      <w:r>
        <w:t xml:space="preserve">обласної</w:t>
      </w:r>
      <w:r>
        <w:t xml:space="preserve"> </w:t>
      </w:r>
      <w:r>
        <w:t xml:space="preserve">державної адміністрації</w:t>
      </w:r>
      <w:r>
        <w:t xml:space="preserve">, </w:t>
      </w:r>
      <w:r>
        <w:t xml:space="preserve">Управління капітального будівництва Чернігівської обласної державної адміністрації, </w:t>
      </w:r>
      <w:r>
        <w:t xml:space="preserve">районні державні адміністрації, органи місцевого самоврядування</w:t>
      </w:r>
      <w:r>
        <w:t xml:space="preserve">.</w:t>
      </w:r>
      <w:r/>
    </w:p>
    <w:p>
      <w:pPr>
        <w:pStyle w:val="709"/>
        <w:pBdr/>
        <w:shd w:val="clear" w:color="auto" w:fill="ffffff" w:themeFill="background1"/>
        <w:tabs>
          <w:tab w:val="left" w:leader="none" w:pos="0"/>
        </w:tabs>
        <w:spacing/>
        <w:ind w:right="159" w:firstLine="567" w:left="0"/>
        <w:jc w:val="both"/>
        <w:rPr/>
      </w:pPr>
      <w:r>
        <w:t xml:space="preserve">Орієнтовний обсяг фінансування Програми </w:t>
      </w:r>
      <w:r>
        <w:t xml:space="preserve">на </w:t>
      </w:r>
      <w:r>
        <w:t xml:space="preserve">2025-2030 роки</w:t>
      </w:r>
      <w:r>
        <w:t xml:space="preserve"> </w:t>
      </w:r>
      <w:r>
        <w:t xml:space="preserve">складає</w:t>
      </w:r>
      <w:r>
        <w:t xml:space="preserve"> </w:t>
      </w:r>
      <w:r>
        <w:t xml:space="preserve">7270</w:t>
      </w:r>
      <w:r>
        <w:t xml:space="preserve">,0</w:t>
      </w:r>
      <w:r>
        <w:t xml:space="preserve"> </w:t>
      </w:r>
      <w:r>
        <w:t xml:space="preserve">тис. грн</w:t>
      </w:r>
      <w:r>
        <w:t xml:space="preserve"> та може коригуватися під час її виконання в залежності від</w:t>
      </w:r>
      <w:r>
        <w:t xml:space="preserve"> </w:t>
      </w:r>
      <w:r>
        <w:t xml:space="preserve">потреби, фінансових можливостей обласного бюджету та з дотриманням вимог</w:t>
      </w:r>
      <w:r>
        <w:t xml:space="preserve"> </w:t>
      </w:r>
      <w:r>
        <w:t xml:space="preserve">ст. 85 Бюджетного кодексу України. Напрями діяльності та заходи викладені в</w:t>
      </w:r>
      <w:r>
        <w:t xml:space="preserve"> </w:t>
      </w:r>
      <w:r>
        <w:t xml:space="preserve">додатку</w:t>
      </w:r>
      <w:r>
        <w:t xml:space="preserve"> </w:t>
      </w:r>
      <w:r>
        <w:t xml:space="preserve">2.</w:t>
      </w:r>
      <w:r/>
    </w:p>
    <w:p>
      <w:pPr>
        <w:pStyle w:val="709"/>
        <w:pBdr/>
        <w:shd w:val="clear" w:color="auto" w:fill="ffffff" w:themeFill="background1"/>
        <w:tabs>
          <w:tab w:val="left" w:leader="none" w:pos="0"/>
        </w:tabs>
        <w:spacing/>
        <w:ind w:right="159" w:left="0"/>
        <w:jc w:val="both"/>
        <w:rPr/>
      </w:pPr>
      <w:r/>
      <w:r/>
    </w:p>
    <w:p>
      <w:pPr>
        <w:pStyle w:val="710"/>
        <w:pBdr/>
        <w:shd w:val="clear" w:color="auto" w:fill="ffffff" w:themeFill="background1"/>
        <w:tabs>
          <w:tab w:val="left" w:leader="none" w:pos="142"/>
        </w:tabs>
        <w:spacing w:before="83"/>
        <w:ind w:firstLine="567" w:left="0"/>
        <w:jc w:val="center"/>
        <w:rPr/>
      </w:pPr>
      <w:r/>
      <w:bookmarkStart w:id="4" w:name="_TOC_250001"/>
      <w:r>
        <w:t xml:space="preserve">5. </w:t>
      </w:r>
      <w:r>
        <w:t xml:space="preserve">Завдання</w:t>
      </w:r>
      <w:bookmarkEnd w:id="4"/>
      <w:r>
        <w:t xml:space="preserve"> та заходи </w:t>
      </w:r>
      <w:r>
        <w:t xml:space="preserve">Програми</w:t>
      </w:r>
      <w:r/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 w:before="9"/>
        <w:ind w:firstLine="567" w:left="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both"/>
        <w:rPr/>
      </w:pPr>
      <w:r>
        <w:t xml:space="preserve">Основним</w:t>
      </w:r>
      <w:r>
        <w:t xml:space="preserve"> </w:t>
      </w:r>
      <w:r>
        <w:t xml:space="preserve">завданням</w:t>
      </w:r>
      <w:r>
        <w:t xml:space="preserve"> </w:t>
      </w:r>
      <w:r>
        <w:t xml:space="preserve">Програми</w:t>
      </w:r>
      <w:r>
        <w:t xml:space="preserve"> </w:t>
      </w:r>
      <w:r>
        <w:t xml:space="preserve">є</w:t>
      </w:r>
      <w:r>
        <w:t xml:space="preserve"> </w:t>
      </w:r>
      <w:r>
        <w:t xml:space="preserve">забезпечення</w:t>
      </w:r>
      <w:r>
        <w:t xml:space="preserve"> </w:t>
      </w:r>
      <w:r>
        <w:t xml:space="preserve">виконання</w:t>
      </w:r>
      <w:r>
        <w:t xml:space="preserve"> </w:t>
      </w:r>
      <w:r>
        <w:t xml:space="preserve">в</w:t>
      </w:r>
      <w:r>
        <w:t xml:space="preserve"> </w:t>
      </w:r>
      <w:r>
        <w:t xml:space="preserve">області</w:t>
      </w:r>
      <w:r>
        <w:t xml:space="preserve"> </w:t>
      </w:r>
      <w:r>
        <w:t xml:space="preserve">Закону</w:t>
      </w:r>
      <w:r>
        <w:t xml:space="preserve"> </w:t>
      </w:r>
      <w:r>
        <w:t xml:space="preserve">України «Про охорону</w:t>
      </w:r>
      <w:r>
        <w:t xml:space="preserve"> </w:t>
      </w:r>
      <w:r>
        <w:t xml:space="preserve">культурної</w:t>
      </w:r>
      <w:r>
        <w:t xml:space="preserve"> </w:t>
      </w:r>
      <w:r>
        <w:t xml:space="preserve">спадщини»</w:t>
      </w:r>
      <w:r>
        <w:t xml:space="preserve"> та збереження пам’яток архітектури</w:t>
      </w:r>
      <w:r>
        <w:t xml:space="preserve">, містобудування та садово-паркового мистецтва Чернігівської області</w:t>
      </w:r>
      <w:r>
        <w:t xml:space="preserve">.</w:t>
      </w:r>
      <w:r/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 w:after="120"/>
        <w:ind w:right="3" w:firstLine="567" w:left="0"/>
        <w:jc w:val="both"/>
        <w:rPr/>
      </w:pPr>
      <w:r>
        <w:t xml:space="preserve">Завданнями</w:t>
      </w:r>
      <w:r>
        <w:rPr>
          <w:lang w:val="ru-RU"/>
        </w:rPr>
        <w:t xml:space="preserve"> та заходами </w:t>
      </w:r>
      <w:r>
        <w:t xml:space="preserve">Програми</w:t>
      </w:r>
      <w:r>
        <w:t xml:space="preserve"> </w:t>
      </w:r>
      <w:r>
        <w:t xml:space="preserve">є:</w:t>
      </w:r>
      <w:r/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1) забезпечення проведення досліджень щодо виявлення об’єктів культурної спадщини;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2) забезпечення виготовлення облікових карток на об’єкти, які виявлено в процесі досліджень і щодо яких подано Картку виявлення об’єкта культурної спадщини;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3) забезпечення занесення об’єктів архітектури, містобудування та садово-паркового мистецтва до Державного реєстру нерухомих пам’яток України;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4) забезпечення проведення моніторингу пам’яток архітектури, містобудування та садово-паркового мистецтва;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5</w:t>
      </w:r>
      <w:r>
        <w:rPr>
          <w:b w:val="0"/>
        </w:rPr>
        <w:t xml:space="preserve">) </w:t>
      </w:r>
      <w:r>
        <w:rPr>
          <w:b w:val="0"/>
        </w:rPr>
        <w:t xml:space="preserve">забезпечення </w:t>
      </w:r>
      <w:r>
        <w:rPr>
          <w:b w:val="0"/>
        </w:rPr>
        <w:t xml:space="preserve">формування облікових справ на пам’ятки архітектури, містобудування та садово-паркового мистецтва місцевого значення;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</w:rPr>
      </w:pPr>
      <w:r>
        <w:rPr>
          <w:b w:val="0"/>
        </w:rPr>
        <w:t xml:space="preserve">6</w:t>
      </w:r>
      <w:r>
        <w:rPr>
          <w:b w:val="0"/>
        </w:rPr>
        <w:t xml:space="preserve">) </w:t>
      </w:r>
      <w:r>
        <w:rPr>
          <w:b w:val="0"/>
        </w:rPr>
        <w:t xml:space="preserve">забезпечення виготовлення та </w:t>
      </w:r>
      <w:r>
        <w:rPr>
          <w:b w:val="0"/>
        </w:rPr>
        <w:t xml:space="preserve">встановлення охоронних дощок і охоронних знаків на пам’ятках архітектури, містобудування та садово-паркового мистецтва – один з обов’язкових заходів збереження та захисту пам’яток від пошкодження, руйнування або знищення;</w:t>
      </w:r>
      <w:r>
        <w:rPr>
          <w:b w:val="0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 w:after="120"/>
        <w:ind w:firstLine="567" w:left="0"/>
        <w:jc w:val="both"/>
        <w:rPr>
          <w:b w:val="0"/>
          <w:lang w:val="ru-RU"/>
        </w:rPr>
      </w:pPr>
      <w:r>
        <w:rPr>
          <w:b w:val="0"/>
        </w:rPr>
        <w:t xml:space="preserve">7</w:t>
      </w:r>
      <w:r>
        <w:rPr>
          <w:b w:val="0"/>
        </w:rPr>
        <w:t xml:space="preserve">) </w:t>
      </w:r>
      <w:r>
        <w:rPr>
          <w:b w:val="0"/>
        </w:rPr>
        <w:t xml:space="preserve">забезпечення </w:t>
      </w:r>
      <w:r>
        <w:rPr>
          <w:b w:val="0"/>
        </w:rPr>
        <w:t xml:space="preserve">виготовлення науково-про</w:t>
      </w:r>
      <w:r>
        <w:rPr>
          <w:b w:val="0"/>
        </w:rPr>
        <w:t xml:space="preserve">є</w:t>
      </w:r>
      <w:r>
        <w:rPr>
          <w:b w:val="0"/>
        </w:rPr>
        <w:t xml:space="preserve">ктної документації на проведення протиаварійних, консерваційних та реставраційних робіт та проходження експертизи на пам’ятках архітектури, містобудування та садово-паркового мистецтва</w:t>
      </w:r>
      <w:r>
        <w:rPr>
          <w:b w:val="0"/>
          <w:lang w:val="ru-RU"/>
        </w:rPr>
        <w:t xml:space="preserve">;</w:t>
      </w:r>
      <w:r>
        <w:rPr>
          <w:b w:val="0"/>
          <w:lang w:val="ru-RU"/>
        </w:rPr>
      </w:r>
    </w:p>
    <w:p>
      <w:pPr>
        <w:pStyle w:val="710"/>
        <w:pBdr/>
        <w:tabs>
          <w:tab w:val="left" w:leader="none" w:pos="0"/>
          <w:tab w:val="left" w:leader="none" w:pos="1142"/>
        </w:tabs>
        <w:spacing/>
        <w:ind w:firstLine="567"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8) </w:t>
      </w:r>
      <w:r>
        <w:rPr>
          <w:b w:val="0"/>
        </w:rPr>
        <w:t xml:space="preserve">проведення протиаварійних робіт на пам’ятці архітектури місцевого значення «Губернська земська управа» (охоронний № 2-Чг), у тому числі виготовлення науково-проектної документації на протиаварійні роботи та проходження експертизи.</w:t>
      </w:r>
      <w:r>
        <w:rPr>
          <w:b w:val="0"/>
          <w:lang w:val="ru-RU"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center"/>
        <w:rPr>
          <w:sz w:val="20"/>
          <w:szCs w:val="20"/>
        </w:rPr>
      </w:pPr>
      <w:r/>
      <w:bookmarkStart w:id="5" w:name="_TOC_250000"/>
      <w:r/>
      <w:r>
        <w:rPr>
          <w:sz w:val="20"/>
          <w:szCs w:val="20"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center"/>
        <w:rPr>
          <w:b/>
        </w:rPr>
      </w:pPr>
      <w:r>
        <w:rPr>
          <w:b/>
        </w:rPr>
        <w:t xml:space="preserve">6. </w:t>
      </w:r>
      <w:r>
        <w:rPr>
          <w:b/>
        </w:rPr>
        <w:t xml:space="preserve">Очікувані</w:t>
      </w:r>
      <w:r>
        <w:rPr>
          <w:b/>
        </w:rPr>
        <w:t xml:space="preserve"> </w:t>
      </w:r>
      <w:r>
        <w:rPr>
          <w:b/>
        </w:rPr>
        <w:t xml:space="preserve">результати</w:t>
      </w:r>
      <w:r>
        <w:rPr>
          <w:b/>
        </w:rPr>
        <w:t xml:space="preserve"> </w:t>
      </w:r>
      <w:r>
        <w:rPr>
          <w:b/>
        </w:rPr>
        <w:t xml:space="preserve">виконання</w:t>
      </w:r>
      <w:bookmarkEnd w:id="5"/>
      <w:r>
        <w:rPr>
          <w:b/>
        </w:rPr>
        <w:t xml:space="preserve"> </w:t>
      </w:r>
      <w:r>
        <w:rPr>
          <w:b/>
        </w:rPr>
        <w:t xml:space="preserve">Програми</w:t>
      </w:r>
      <w:r>
        <w:rPr>
          <w:b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both"/>
        <w:rPr/>
      </w:pPr>
      <w:r>
        <w:t xml:space="preserve">Виконання Програми забезпечить реалізацію державної політики у сфері</w:t>
      </w:r>
      <w:r>
        <w:t xml:space="preserve"> </w:t>
      </w:r>
      <w:r>
        <w:t xml:space="preserve">охорони</w:t>
      </w:r>
      <w:r>
        <w:t xml:space="preserve"> </w:t>
      </w:r>
      <w:r>
        <w:t xml:space="preserve">культурної</w:t>
      </w:r>
      <w:r>
        <w:t xml:space="preserve"> </w:t>
      </w:r>
      <w:r>
        <w:t xml:space="preserve">спадщини,</w:t>
      </w:r>
      <w:r>
        <w:t xml:space="preserve"> </w:t>
      </w:r>
      <w:r>
        <w:t xml:space="preserve">сприятиме</w:t>
      </w:r>
      <w:r>
        <w:t xml:space="preserve"> </w:t>
      </w:r>
      <w:r>
        <w:t xml:space="preserve">охороні та </w:t>
      </w:r>
      <w:r>
        <w:t xml:space="preserve">збереженню</w:t>
      </w:r>
      <w:r>
        <w:t xml:space="preserve"> </w:t>
      </w:r>
      <w:r>
        <w:t xml:space="preserve">пам’яток </w:t>
      </w:r>
      <w:r>
        <w:t xml:space="preserve">архітектури, містобудування та садово-паркового мистецтва Чернігівської області</w:t>
      </w:r>
      <w:r>
        <w:t xml:space="preserve">.</w:t>
      </w:r>
      <w:r/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both"/>
        <w:rPr/>
      </w:pPr>
      <w:r>
        <w:t xml:space="preserve">Результативні показники виконання напрямів діяльності та заходів Програми, </w:t>
      </w:r>
      <w:r>
        <w:rPr>
          <w:spacing w:val="-4"/>
        </w:rPr>
        <w:t xml:space="preserve">які дозволять провести оцінку ефективності виконання її завдань і заходів та здійснювати моніторинг досягнення запланованих цілей</w:t>
      </w:r>
      <w:r>
        <w:rPr>
          <w:spacing w:val="-4"/>
        </w:rPr>
        <w:t xml:space="preserve">,</w:t>
      </w:r>
      <w:r>
        <w:rPr>
          <w:spacing w:val="-4"/>
        </w:rPr>
        <w:t xml:space="preserve"> викладені в додатку 3</w:t>
      </w:r>
      <w:r>
        <w:rPr>
          <w:spacing w:val="-4"/>
        </w:rPr>
        <w:t xml:space="preserve">.</w:t>
      </w:r>
      <w:r/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center"/>
        <w:rPr>
          <w:b/>
        </w:rPr>
      </w:pPr>
      <w:r>
        <w:rPr>
          <w:b/>
        </w:rPr>
        <w:t xml:space="preserve">7. </w:t>
      </w:r>
      <w:r>
        <w:rPr>
          <w:b/>
        </w:rPr>
        <w:t xml:space="preserve">Координація та контроль за ходом виконання Програми</w:t>
      </w:r>
      <w:r>
        <w:rPr>
          <w:b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9"/>
        <w:pBdr/>
        <w:shd w:val="clear" w:color="auto" w:fill="ffffff" w:themeFill="background1"/>
        <w:tabs>
          <w:tab w:val="left" w:leader="none" w:pos="142"/>
        </w:tabs>
        <w:spacing/>
        <w:ind w:right="3" w:firstLine="567" w:left="0"/>
        <w:jc w:val="both"/>
        <w:rPr/>
      </w:pPr>
      <w:r>
        <w:t xml:space="preserve">Управління містобудування та архітектури </w:t>
      </w:r>
      <w:r>
        <w:t xml:space="preserve">Чернігівської </w:t>
      </w:r>
      <w:r>
        <w:t xml:space="preserve">обласної державної адміністрації здійснює моніторинг </w:t>
      </w:r>
      <w:r>
        <w:t xml:space="preserve">виконання заходів Програми та підготовку</w:t>
      </w:r>
      <w:r>
        <w:t xml:space="preserve"> звітів відповідно до розпорядження голови </w:t>
      </w:r>
      <w:r>
        <w:t xml:space="preserve">Чернігівської </w:t>
      </w:r>
      <w:r>
        <w:t xml:space="preserve">обласної державної</w:t>
      </w:r>
      <w:r>
        <w:t xml:space="preserve"> адміністрації від 05.05.2016 № </w:t>
      </w:r>
      <w:r>
        <w:t xml:space="preserve">245 «Про Порядок розроблення регіональних цільових програм, моніторингу та звітності про їх виконання».</w:t>
      </w:r>
      <w:r/>
    </w:p>
    <w:p>
      <w:pPr>
        <w:pStyle w:val="709"/>
        <w:pBdr/>
        <w:tabs>
          <w:tab w:val="left" w:leader="none" w:pos="142"/>
        </w:tabs>
        <w:spacing/>
        <w:ind w:right="3" w:left="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9"/>
        <w:pBdr/>
        <w:tabs>
          <w:tab w:val="left" w:leader="none" w:pos="142"/>
        </w:tabs>
        <w:spacing/>
        <w:ind w:right="3" w:left="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9"/>
        <w:pBdr/>
        <w:tabs>
          <w:tab w:val="left" w:leader="none" w:pos="142"/>
        </w:tabs>
        <w:spacing/>
        <w:ind w:right="3" w:left="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9"/>
        <w:pBdr/>
        <w:tabs>
          <w:tab w:val="left" w:leader="none" w:pos="142"/>
        </w:tabs>
        <w:spacing/>
        <w:ind w:right="3" w:left="0"/>
        <w:jc w:val="both"/>
        <w:rPr/>
      </w:pPr>
      <w:r>
        <w:t xml:space="preserve">В.</w:t>
      </w:r>
      <w:r>
        <w:t xml:space="preserve"> </w:t>
      </w:r>
      <w:r>
        <w:t xml:space="preserve">о. н</w:t>
      </w:r>
      <w:r>
        <w:t xml:space="preserve">ачальник</w:t>
      </w:r>
      <w:r>
        <w:t xml:space="preserve">а</w:t>
      </w:r>
      <w:r>
        <w:t xml:space="preserve"> </w:t>
      </w:r>
      <w:r>
        <w:t xml:space="preserve">Управління</w:t>
      </w:r>
      <w:r/>
    </w:p>
    <w:p>
      <w:pPr>
        <w:pStyle w:val="709"/>
        <w:pBdr/>
        <w:tabs>
          <w:tab w:val="left" w:leader="none" w:pos="142"/>
        </w:tabs>
        <w:spacing/>
        <w:ind w:right="3" w:left="0"/>
        <w:jc w:val="both"/>
        <w:rPr>
          <w:b/>
        </w:rPr>
      </w:pPr>
      <w:r>
        <w:t xml:space="preserve">містобудування</w:t>
      </w:r>
      <w:r>
        <w:t xml:space="preserve"> </w:t>
      </w:r>
      <w:r>
        <w:t xml:space="preserve">та</w:t>
      </w:r>
      <w:r>
        <w:t xml:space="preserve"> </w:t>
      </w:r>
      <w:r>
        <w:t xml:space="preserve">архітектури</w:t>
      </w:r>
      <w:r>
        <w:rPr>
          <w:b/>
        </w:rPr>
      </w:r>
    </w:p>
    <w:p>
      <w:pPr>
        <w:pStyle w:val="709"/>
        <w:pBdr/>
        <w:tabs>
          <w:tab w:val="left" w:leader="none" w:pos="142"/>
        </w:tabs>
        <w:spacing/>
        <w:ind w:right="3" w:left="0"/>
        <w:jc w:val="both"/>
        <w:rPr/>
      </w:pPr>
      <w:r>
        <w:t xml:space="preserve">Чернігівської</w:t>
      </w:r>
      <w:r>
        <w:t xml:space="preserve"> </w:t>
      </w:r>
      <w:r>
        <w:t xml:space="preserve">обл</w:t>
      </w:r>
      <w:r>
        <w:t xml:space="preserve">асної</w:t>
      </w:r>
      <w:r/>
    </w:p>
    <w:p>
      <w:pPr>
        <w:pStyle w:val="709"/>
        <w:pBdr/>
        <w:tabs>
          <w:tab w:val="left" w:leader="none" w:pos="142"/>
        </w:tabs>
        <w:spacing/>
        <w:ind w:right="3" w:left="0"/>
        <w:jc w:val="both"/>
        <w:rPr/>
      </w:pPr>
      <w:r>
        <w:t xml:space="preserve">держ</w:t>
      </w:r>
      <w:r>
        <w:t xml:space="preserve">авної </w:t>
      </w:r>
      <w:r>
        <w:t xml:space="preserve">адміністрації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</w:t>
      </w:r>
      <w:r>
        <w:t xml:space="preserve">ергій КУРЕНЯ</w:t>
      </w:r>
      <w:bookmarkStart w:id="6" w:name="Додаток_1"/>
      <w:r/>
      <w:bookmarkEnd w:id="6"/>
      <w:r/>
      <w:r/>
    </w:p>
    <w:sectPr>
      <w:footnotePr/>
      <w:endnotePr/>
      <w:type w:val="nextPage"/>
      <w:pgSz w:h="16840" w:orient="portrait" w:w="11910"/>
      <w:pgMar w:top="1134" w:right="567" w:bottom="1134" w:left="1701" w:header="51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a">
    <w:panose1 w:val="020B0603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60866987"/>
      <w:docPartObj>
        <w:docPartGallery w:val="Page Numbers (Top of Page)"/>
        <w:docPartUnique w:val="true"/>
      </w:docPartObj>
      <w:rPr/>
    </w:sdtPr>
    <w:sdtContent>
      <w:p>
        <w:pPr>
          <w:pStyle w:val="720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4</w:t>
        </w:r>
        <w:r>
          <w:rPr>
            <w:lang w:val="ru-RU"/>
          </w:rPr>
          <w:fldChar w:fldCharType="end"/>
        </w:r>
        <w:r/>
      </w:p>
    </w:sdtContent>
  </w:sdt>
  <w:p>
    <w:pPr>
      <w:pStyle w:val="709"/>
      <w:pBdr/>
      <w:spacing w:line="14" w:lineRule="auto"/>
      <w:ind w:left="0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204" w:left="220"/>
      </w:pPr>
      <w:rPr>
        <w:rFonts w:hint="default" w:ascii="Times New Roman" w:hAnsi="Times New Roman" w:eastAsia="Times New Roman" w:cs="Times New Roman"/>
        <w:sz w:val="28"/>
        <w:szCs w:val="28"/>
        <w:lang w:val="uk-UA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204" w:left="1196"/>
      </w:pPr>
      <w:rPr>
        <w:rFonts w:hint="default"/>
        <w:lang w:val="uk-UA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04" w:left="2173"/>
      </w:pPr>
      <w:rPr>
        <w:rFonts w:hint="default"/>
        <w:lang w:val="uk-UA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04" w:left="3149"/>
      </w:pPr>
      <w:rPr>
        <w:rFonts w:hint="default"/>
        <w:lang w:val="uk-UA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04" w:left="4126"/>
      </w:pPr>
      <w:rPr>
        <w:rFonts w:hint="default"/>
        <w:lang w:val="uk-UA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04" w:left="5103"/>
      </w:pPr>
      <w:rPr>
        <w:rFonts w:hint="default"/>
        <w:lang w:val="uk-UA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04" w:left="6079"/>
      </w:pPr>
      <w:rPr>
        <w:rFonts w:hint="default"/>
        <w:lang w:val="uk-UA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04" w:left="7056"/>
      </w:pPr>
      <w:rPr>
        <w:rFonts w:hint="default"/>
        <w:lang w:val="uk-UA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04" w:left="8033"/>
      </w:pPr>
      <w:rPr>
        <w:rFonts w:hint="default"/>
        <w:lang w:val="uk-UA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16" w:left="242"/>
      </w:pPr>
      <w:rPr>
        <w:rFonts w:hint="default" w:ascii="Times New Roman" w:hAnsi="Times New Roman" w:eastAsia="Times New Roman" w:cs="Times New Roman"/>
        <w:sz w:val="20"/>
        <w:szCs w:val="20"/>
        <w:lang w:val="uk-UA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16" w:left="500"/>
      </w:pPr>
      <w:rPr>
        <w:rFonts w:hint="default"/>
        <w:lang w:val="uk-UA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16" w:left="760"/>
      </w:pPr>
      <w:rPr>
        <w:rFonts w:hint="default"/>
        <w:lang w:val="uk-UA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1036"/>
      </w:pPr>
      <w:rPr>
        <w:rFonts w:hint="default"/>
        <w:lang w:val="uk-UA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1312"/>
      </w:pPr>
      <w:rPr>
        <w:rFonts w:hint="default"/>
        <w:lang w:val="uk-UA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1588"/>
      </w:pPr>
      <w:rPr>
        <w:rFonts w:hint="default"/>
        <w:lang w:val="uk-UA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1864"/>
      </w:pPr>
      <w:rPr>
        <w:rFonts w:hint="default"/>
        <w:lang w:val="uk-UA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2140"/>
      </w:pPr>
      <w:rPr>
        <w:rFonts w:hint="default"/>
        <w:lang w:val="uk-UA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2416"/>
      </w:pPr>
      <w:rPr>
        <w:rFonts w:hint="default"/>
        <w:lang w:val="uk-UA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116" w:left="448"/>
      </w:pPr>
      <w:rPr>
        <w:rFonts w:hint="default" w:ascii="Times New Roman" w:hAnsi="Times New Roman" w:eastAsia="Times New Roman" w:cs="Times New Roman"/>
        <w:sz w:val="20"/>
        <w:szCs w:val="20"/>
        <w:lang w:val="uk-UA" w:eastAsia="en-US" w:bidi="ar-SA"/>
      </w:rPr>
      <w:start w:val="0"/>
      <w:suff w:val="tab"/>
    </w:lvl>
    <w:lvl w:ilvl="1">
      <w:isLgl w:val="false"/>
      <w:lvlJc w:val="left"/>
      <w:lvlText w:val="-"/>
      <w:numFmt w:val="bullet"/>
      <w:pPr>
        <w:pBdr/>
        <w:spacing/>
        <w:ind w:hanging="116" w:left="607"/>
      </w:pPr>
      <w:rPr>
        <w:rFonts w:hint="default" w:ascii="Times New Roman" w:hAnsi="Times New Roman" w:eastAsia="Times New Roman" w:cs="Times New Roman"/>
        <w:sz w:val="20"/>
        <w:szCs w:val="20"/>
        <w:lang w:val="uk-UA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16" w:left="720"/>
      </w:pPr>
      <w:rPr>
        <w:rFonts w:hint="default"/>
        <w:lang w:val="uk-UA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1001"/>
      </w:pPr>
      <w:rPr>
        <w:rFonts w:hint="default"/>
        <w:lang w:val="uk-UA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1282"/>
      </w:pPr>
      <w:rPr>
        <w:rFonts w:hint="default"/>
        <w:lang w:val="uk-UA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1563"/>
      </w:pPr>
      <w:rPr>
        <w:rFonts w:hint="default"/>
        <w:lang w:val="uk-UA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1844"/>
      </w:pPr>
      <w:rPr>
        <w:rFonts w:hint="default"/>
        <w:lang w:val="uk-UA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2125"/>
      </w:pPr>
      <w:rPr>
        <w:rFonts w:hint="default"/>
        <w:lang w:val="uk-UA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2406"/>
      </w:pPr>
      <w:rPr>
        <w:rFonts w:hint="default"/>
        <w:lang w:val="uk-UA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152" w:left="787"/>
      </w:pPr>
      <w:rPr>
        <w:rFonts w:hint="default" w:ascii="Times New Roman" w:hAnsi="Times New Roman" w:eastAsia="Times New Roman" w:cs="Times New Roman"/>
        <w:b/>
        <w:bCs/>
        <w:spacing w:val="0"/>
        <w:sz w:val="18"/>
        <w:szCs w:val="18"/>
        <w:lang w:val="uk-UA" w:eastAsia="en-US" w:bidi="ar-SA"/>
      </w:rPr>
      <w:start w:val="1"/>
      <w:suff w:val="tab"/>
    </w:lvl>
    <w:lvl w:ilvl="1">
      <w:isLgl w:val="false"/>
      <w:lvlJc w:val="left"/>
      <w:lvlText/>
      <w:numFmt w:val="none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52" w:left="1023"/>
      </w:pPr>
      <w:rPr>
        <w:rFonts w:hint="default"/>
        <w:lang w:val="uk-UA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52" w:left="1266"/>
      </w:pPr>
      <w:rPr>
        <w:rFonts w:hint="default"/>
        <w:lang w:val="uk-UA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52" w:left="1509"/>
      </w:pPr>
      <w:rPr>
        <w:rFonts w:hint="default"/>
        <w:lang w:val="uk-UA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52" w:left="1752"/>
      </w:pPr>
      <w:rPr>
        <w:rFonts w:hint="default"/>
        <w:lang w:val="uk-UA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52" w:left="1995"/>
      </w:pPr>
      <w:rPr>
        <w:rFonts w:hint="default"/>
        <w:lang w:val="uk-UA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52" w:left="2238"/>
      </w:pPr>
      <w:rPr>
        <w:rFonts w:hint="default"/>
        <w:lang w:val="uk-UA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52" w:left="2481"/>
      </w:pPr>
      <w:rPr>
        <w:rFonts w:hint="default"/>
        <w:lang w:val="uk-UA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34" w:left="220"/>
      </w:pPr>
      <w:rPr>
        <w:rFonts w:hint="default" w:ascii="Times New Roman" w:hAnsi="Times New Roman" w:eastAsia="Times New Roman" w:cs="Times New Roman"/>
        <w:sz w:val="28"/>
        <w:szCs w:val="28"/>
        <w:lang w:val="uk-UA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34" w:left="1196"/>
      </w:pPr>
      <w:rPr>
        <w:rFonts w:hint="default"/>
        <w:lang w:val="uk-UA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34" w:left="2173"/>
      </w:pPr>
      <w:rPr>
        <w:rFonts w:hint="default"/>
        <w:lang w:val="uk-UA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34" w:left="3149"/>
      </w:pPr>
      <w:rPr>
        <w:rFonts w:hint="default"/>
        <w:lang w:val="uk-UA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34" w:left="4126"/>
      </w:pPr>
      <w:rPr>
        <w:rFonts w:hint="default"/>
        <w:lang w:val="uk-UA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34" w:left="5103"/>
      </w:pPr>
      <w:rPr>
        <w:rFonts w:hint="default"/>
        <w:lang w:val="uk-UA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34" w:left="6079"/>
      </w:pPr>
      <w:rPr>
        <w:rFonts w:hint="default"/>
        <w:lang w:val="uk-UA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34" w:left="7056"/>
      </w:pPr>
      <w:rPr>
        <w:rFonts w:hint="default"/>
        <w:lang w:val="uk-UA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34" w:left="8033"/>
      </w:pPr>
      <w:rPr>
        <w:rFonts w:hint="default"/>
        <w:lang w:val="uk-UA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567" w:left="220"/>
      </w:pPr>
      <w:rPr>
        <w:rFonts w:hint="default" w:ascii="Times New Roman" w:hAnsi="Times New Roman" w:eastAsia="Times New Roman" w:cs="Times New Roman"/>
        <w:spacing w:val="-2"/>
        <w:sz w:val="28"/>
        <w:szCs w:val="28"/>
        <w:lang w:val="uk-UA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281" w:left="1329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uk-UA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81" w:left="2282"/>
      </w:pPr>
      <w:rPr>
        <w:rFonts w:hint="default"/>
        <w:lang w:val="uk-UA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1" w:left="3245"/>
      </w:pPr>
      <w:rPr>
        <w:rFonts w:hint="default"/>
        <w:lang w:val="uk-UA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1" w:left="4208"/>
      </w:pPr>
      <w:rPr>
        <w:rFonts w:hint="default"/>
        <w:lang w:val="uk-UA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1" w:left="5171"/>
      </w:pPr>
      <w:rPr>
        <w:rFonts w:hint="default"/>
        <w:lang w:val="uk-UA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1" w:left="6134"/>
      </w:pPr>
      <w:rPr>
        <w:rFonts w:hint="default"/>
        <w:lang w:val="uk-UA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1" w:left="7097"/>
      </w:pPr>
      <w:rPr>
        <w:rFonts w:hint="default"/>
        <w:lang w:val="uk-UA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1" w:left="8060"/>
      </w:pPr>
      <w:rPr>
        <w:rFonts w:hint="default"/>
        <w:lang w:val="uk-UA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281" w:left="1209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uk-UA" w:eastAsia="en-US" w:bidi="ar-SA"/>
      </w:rPr>
      <w:start w:val="3"/>
      <w:suff w:val="tab"/>
    </w:lvl>
    <w:lvl w:ilvl="1">
      <w:isLgl w:val="false"/>
      <w:lvlJc w:val="left"/>
      <w:lvlText w:val="•"/>
      <w:numFmt w:val="bullet"/>
      <w:pPr>
        <w:pBdr/>
        <w:spacing/>
        <w:ind w:hanging="281" w:left="2078"/>
      </w:pPr>
      <w:rPr>
        <w:rFonts w:hint="default"/>
        <w:lang w:val="uk-UA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1" w:left="2957"/>
      </w:pPr>
      <w:rPr>
        <w:rFonts w:hint="default"/>
        <w:lang w:val="uk-UA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1" w:left="3835"/>
      </w:pPr>
      <w:rPr>
        <w:rFonts w:hint="default"/>
        <w:lang w:val="uk-UA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1" w:left="4714"/>
      </w:pPr>
      <w:rPr>
        <w:rFonts w:hint="default"/>
        <w:lang w:val="uk-UA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1" w:left="5593"/>
      </w:pPr>
      <w:rPr>
        <w:rFonts w:hint="default"/>
        <w:lang w:val="uk-UA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1" w:left="6471"/>
      </w:pPr>
      <w:rPr>
        <w:rFonts w:hint="default"/>
        <w:lang w:val="uk-UA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1" w:left="7350"/>
      </w:pPr>
      <w:rPr>
        <w:rFonts w:hint="default"/>
        <w:lang w:val="uk-UA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1" w:left="8229"/>
      </w:pPr>
      <w:rPr>
        <w:rFonts w:hint="default"/>
        <w:lang w:val="uk-UA" w:eastAsia="en-US" w:bidi="ar-SA"/>
      </w:rPr>
      <w:start w:val="0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3"/>
    <w:next w:val="70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3"/>
    <w:next w:val="70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3"/>
    <w:next w:val="70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3"/>
    <w:next w:val="70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3"/>
    <w:next w:val="70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3"/>
    <w:next w:val="70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3"/>
    <w:next w:val="70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3"/>
    <w:next w:val="70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3"/>
    <w:next w:val="70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4"/>
    <w:link w:val="7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3"/>
    <w:next w:val="70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3"/>
    <w:next w:val="70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3"/>
    <w:next w:val="70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3"/>
    <w:uiPriority w:val="1"/>
    <w:qFormat/>
    <w:pPr>
      <w:pBdr/>
      <w:spacing w:after="0" w:line="240" w:lineRule="auto"/>
      <w:ind/>
    </w:pPr>
  </w:style>
  <w:style w:type="character" w:styleId="171">
    <w:name w:val="Emphasis"/>
    <w:basedOn w:val="70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4"/>
    <w:link w:val="720"/>
    <w:uiPriority w:val="99"/>
    <w:pPr>
      <w:pBdr/>
      <w:spacing/>
      <w:ind/>
    </w:pPr>
  </w:style>
  <w:style w:type="character" w:styleId="178">
    <w:name w:val="Footer Char"/>
    <w:basedOn w:val="704"/>
    <w:link w:val="722"/>
    <w:uiPriority w:val="99"/>
    <w:pPr>
      <w:pBdr/>
      <w:spacing/>
      <w:ind/>
    </w:pPr>
  </w:style>
  <w:style w:type="paragraph" w:styleId="179">
    <w:name w:val="Caption"/>
    <w:basedOn w:val="703"/>
    <w:next w:val="70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3"/>
    <w:next w:val="703"/>
    <w:uiPriority w:val="99"/>
    <w:unhideWhenUsed/>
    <w:pPr>
      <w:pBdr/>
      <w:spacing w:after="0" w:afterAutospacing="0"/>
      <w:ind/>
    </w:pPr>
  </w:style>
  <w:style w:type="paragraph" w:styleId="703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uk-UA"/>
    </w:rPr>
  </w:style>
  <w:style w:type="character" w:styleId="704" w:default="1">
    <w:name w:val="Default Paragraph Font"/>
    <w:uiPriority w:val="1"/>
    <w:semiHidden/>
    <w:unhideWhenUsed/>
    <w:pPr>
      <w:pBdr/>
      <w:spacing/>
      <w:ind/>
    </w:pPr>
  </w:style>
  <w:style w:type="table" w:styleId="705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6" w:default="1">
    <w:name w:val="No List"/>
    <w:uiPriority w:val="99"/>
    <w:semiHidden/>
    <w:unhideWhenUsed/>
    <w:pPr>
      <w:pBdr/>
      <w:spacing/>
      <w:ind/>
    </w:pPr>
  </w:style>
  <w:style w:type="table" w:styleId="707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8" w:customStyle="1">
    <w:name w:val="Оглавление 11"/>
    <w:basedOn w:val="703"/>
    <w:uiPriority w:val="1"/>
    <w:qFormat/>
    <w:pPr>
      <w:pBdr/>
      <w:spacing/>
      <w:ind w:hanging="287" w:left="1072"/>
    </w:pPr>
    <w:rPr>
      <w:sz w:val="28"/>
      <w:szCs w:val="28"/>
    </w:rPr>
  </w:style>
  <w:style w:type="paragraph" w:styleId="709">
    <w:name w:val="Body Text"/>
    <w:basedOn w:val="703"/>
    <w:uiPriority w:val="1"/>
    <w:qFormat/>
    <w:pPr>
      <w:pBdr/>
      <w:spacing/>
      <w:ind w:left="220"/>
    </w:pPr>
    <w:rPr>
      <w:sz w:val="28"/>
      <w:szCs w:val="28"/>
    </w:rPr>
  </w:style>
  <w:style w:type="paragraph" w:styleId="710" w:customStyle="1">
    <w:name w:val="Заголовок 11"/>
    <w:basedOn w:val="703"/>
    <w:uiPriority w:val="1"/>
    <w:qFormat/>
    <w:pPr>
      <w:pBdr/>
      <w:spacing/>
      <w:ind w:hanging="282" w:left="1209"/>
      <w:outlineLvl w:val="1"/>
    </w:pPr>
    <w:rPr>
      <w:b/>
      <w:bCs/>
      <w:sz w:val="28"/>
      <w:szCs w:val="28"/>
    </w:rPr>
  </w:style>
  <w:style w:type="paragraph" w:styleId="711">
    <w:name w:val="Title"/>
    <w:basedOn w:val="703"/>
    <w:uiPriority w:val="1"/>
    <w:qFormat/>
    <w:pPr>
      <w:pBdr/>
      <w:spacing/>
      <w:ind w:right="487" w:left="544"/>
      <w:jc w:val="center"/>
    </w:pPr>
    <w:rPr>
      <w:b/>
      <w:bCs/>
      <w:sz w:val="40"/>
      <w:szCs w:val="40"/>
    </w:rPr>
  </w:style>
  <w:style w:type="paragraph" w:styleId="712">
    <w:name w:val="List Paragraph"/>
    <w:basedOn w:val="703"/>
    <w:uiPriority w:val="1"/>
    <w:qFormat/>
    <w:pPr>
      <w:pBdr/>
      <w:spacing/>
      <w:ind w:firstLine="707" w:left="220"/>
      <w:jc w:val="both"/>
    </w:pPr>
  </w:style>
  <w:style w:type="paragraph" w:styleId="713" w:customStyle="1">
    <w:name w:val="Table Paragraph"/>
    <w:basedOn w:val="703"/>
    <w:uiPriority w:val="1"/>
    <w:qFormat/>
    <w:pPr>
      <w:pBdr/>
      <w:spacing/>
      <w:ind/>
    </w:pPr>
  </w:style>
  <w:style w:type="paragraph" w:styleId="714">
    <w:name w:val="Balloon Text"/>
    <w:basedOn w:val="703"/>
    <w:link w:val="71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15" w:customStyle="1">
    <w:name w:val="Текст выноски Знак"/>
    <w:basedOn w:val="704"/>
    <w:link w:val="714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val="uk-UA"/>
    </w:rPr>
  </w:style>
  <w:style w:type="character" w:styleId="716">
    <w:name w:val="Subtle Emphasis"/>
    <w:basedOn w:val="704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character" w:styleId="717">
    <w:name w:val="Placeholder Text"/>
    <w:basedOn w:val="704"/>
    <w:uiPriority w:val="99"/>
    <w:semiHidden/>
    <w:pPr>
      <w:pBdr/>
      <w:spacing/>
      <w:ind/>
    </w:pPr>
    <w:rPr>
      <w:color w:val="808080"/>
    </w:rPr>
  </w:style>
  <w:style w:type="paragraph" w:styleId="718" w:customStyle="1">
    <w:name w:val="Default"/>
    <w:pPr>
      <w:widowControl w:val="true"/>
      <w:pBdr/>
      <w:spacing/>
      <w:ind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719">
    <w:name w:val="Table Grid"/>
    <w:basedOn w:val="705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0">
    <w:name w:val="Header"/>
    <w:basedOn w:val="703"/>
    <w:link w:val="721"/>
    <w:uiPriority w:val="99"/>
    <w:unhideWhenUsed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21" w:customStyle="1">
    <w:name w:val="Верхний колонтитул Знак"/>
    <w:basedOn w:val="704"/>
    <w:link w:val="720"/>
    <w:uiPriority w:val="99"/>
    <w:pPr>
      <w:pBdr/>
      <w:spacing/>
      <w:ind/>
    </w:pPr>
    <w:rPr>
      <w:rFonts w:ascii="Times New Roman" w:hAnsi="Times New Roman" w:eastAsia="Times New Roman" w:cs="Times New Roman"/>
      <w:lang w:val="uk-UA"/>
    </w:rPr>
  </w:style>
  <w:style w:type="paragraph" w:styleId="722">
    <w:name w:val="Footer"/>
    <w:basedOn w:val="703"/>
    <w:link w:val="723"/>
    <w:uiPriority w:val="99"/>
    <w:unhideWhenUsed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23" w:customStyle="1">
    <w:name w:val="Нижний колонтитул Знак"/>
    <w:basedOn w:val="704"/>
    <w:link w:val="722"/>
    <w:uiPriority w:val="99"/>
    <w:pPr>
      <w:pBdr/>
      <w:spacing/>
      <w:ind/>
    </w:pPr>
    <w:rPr>
      <w:rFonts w:ascii="Times New Roman" w:hAnsi="Times New Roman" w:eastAsia="Times New Roman" w:cs="Times New Roman"/>
      <w:lang w:val="uk-UA"/>
    </w:rPr>
  </w:style>
  <w:style w:type="paragraph" w:styleId="724" w:customStyle="1">
    <w:name w:val="Нормальний текст"/>
    <w:basedOn w:val="703"/>
    <w:pPr>
      <w:widowControl w:val="true"/>
      <w:pBdr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84F92-90B3-49CD-8F07-CBD3481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User-1-3-T</dc:creator>
  <cp:lastModifiedBy>Anonymous</cp:lastModifiedBy>
  <cp:revision>5</cp:revision>
  <dcterms:created xsi:type="dcterms:W3CDTF">2025-01-31T08:58:00Z</dcterms:created>
  <dcterms:modified xsi:type="dcterms:W3CDTF">2025-02-05T07:03:18Z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2022-09-12T00:00:00Z</vt:filetime>
  </property>
</Properties>
</file>